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rPr>
      </w:pPr>
      <w:r>
        <w:rPr>
          <w:rFonts w:hint="eastAsia" w:ascii="黑体" w:hAnsi="黑体" w:eastAsia="黑体" w:cs="黑体"/>
          <w:sz w:val="36"/>
          <w:szCs w:val="36"/>
        </w:rPr>
        <w:t>中联重科集团财务有限公司资本管理第三支柱202</w:t>
      </w:r>
      <w:r>
        <w:rPr>
          <w:rFonts w:hint="eastAsia" w:ascii="黑体" w:hAnsi="黑体" w:eastAsia="黑体" w:cs="黑体"/>
          <w:sz w:val="36"/>
          <w:szCs w:val="36"/>
          <w:lang w:val="en-US" w:eastAsia="zh-CN"/>
        </w:rPr>
        <w:t>4</w:t>
      </w:r>
      <w:r>
        <w:rPr>
          <w:rFonts w:hint="eastAsia" w:ascii="黑体" w:hAnsi="黑体" w:eastAsia="黑体" w:cs="黑体"/>
          <w:sz w:val="36"/>
          <w:szCs w:val="36"/>
        </w:rPr>
        <w:t>年第</w:t>
      </w:r>
      <w:r>
        <w:rPr>
          <w:rFonts w:hint="eastAsia" w:ascii="黑体" w:hAnsi="黑体" w:eastAsia="黑体" w:cs="黑体"/>
          <w:sz w:val="36"/>
          <w:szCs w:val="36"/>
          <w:lang w:val="en-US" w:eastAsia="zh-CN"/>
        </w:rPr>
        <w:t>三季</w:t>
      </w:r>
      <w:r>
        <w:rPr>
          <w:rFonts w:hint="eastAsia" w:ascii="黑体" w:hAnsi="黑体" w:eastAsia="黑体" w:cs="黑体"/>
          <w:sz w:val="36"/>
          <w:szCs w:val="36"/>
        </w:rPr>
        <w:t>度报告</w:t>
      </w:r>
    </w:p>
    <w:p>
      <w:pPr>
        <w:keepNext w:val="0"/>
        <w:keepLines w:val="0"/>
        <w:pageBreakBefore w:val="0"/>
        <w:widowControl w:val="0"/>
        <w:kinsoku/>
        <w:wordWrap/>
        <w:overflowPunct/>
        <w:topLinePunct w:val="0"/>
        <w:autoSpaceDE/>
        <w:autoSpaceDN/>
        <w:bidi w:val="0"/>
        <w:adjustRightInd/>
        <w:snapToGrid/>
        <w:spacing w:line="580" w:lineRule="exact"/>
        <w:ind w:firstLine="720" w:firstLineChars="200"/>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三季度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根据办法及通知，公司此次披露表格：监管并表关键审慎监管指标(KMI)，2024年三季度公司需披露报表如下：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5313"/>
        <w:gridCol w:w="2057"/>
        <w:gridCol w:w="1986"/>
        <w:gridCol w:w="2057"/>
        <w:gridCol w:w="212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97" w:type="pct"/>
            <w:gridSpan w:val="2"/>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725"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2024年9月30日</w:t>
            </w:r>
          </w:p>
        </w:tc>
        <w:tc>
          <w:tcPr>
            <w:tcW w:w="700"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2024年6月30日</w:t>
            </w:r>
          </w:p>
        </w:tc>
        <w:tc>
          <w:tcPr>
            <w:tcW w:w="725"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2024年3月31日</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231816.27 </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231816.27 </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230693.44 </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239167.03 </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238915.53 </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235372.03</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616956.68 </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 xml:space="preserve">687533.71 </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539814.26</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37.57%</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37.57%</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33.55%</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38.77%</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34.75%</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43.60%</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4" w:type="pct"/>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1873" w:type="pct"/>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c>
          <w:tcPr>
            <w:tcW w:w="700"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c>
          <w:tcPr>
            <w:tcW w:w="725" w:type="pct"/>
            <w:tcBorders>
              <w:right w:val="single" w:color="auto" w:sz="4" w:space="0"/>
            </w:tcBorders>
            <w:shd w:val="clear" w:color="auto" w:fill="BEBEBE"/>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c>
          <w:tcPr>
            <w:tcW w:w="749" w:type="pct"/>
            <w:tcBorders>
              <w:right w:val="single" w:color="auto" w:sz="4" w:space="0"/>
            </w:tcBorders>
            <w:shd w:val="clear" w:color="auto" w:fill="BEBEBE"/>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29.57%</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25.55%</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34.42%</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1337063.438</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1848712.09</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1289726.571</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17.34%</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17.34%</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12.48%</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1873"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1873"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00"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25"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749"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4" w:type="pct"/>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1873" w:type="pct"/>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725"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61.01%</w:t>
            </w:r>
          </w:p>
        </w:tc>
        <w:tc>
          <w:tcPr>
            <w:tcW w:w="700"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81.42%</w:t>
            </w:r>
          </w:p>
        </w:tc>
        <w:tc>
          <w:tcPr>
            <w:tcW w:w="725"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73.80%</w:t>
            </w:r>
          </w:p>
        </w:tc>
        <w:tc>
          <w:tcPr>
            <w:tcW w:w="749"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根据《商业银行流动性风险管理办法》，《KMI监管并表关键审慎监管指标》中15-20项内容涉及的流动性覆盖率、净稳定资金比例为资产规模不小于2000亿元人民币的商业银行应达到的监管指标，本公司不适用。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季度资本充足率、杠杆率较</w:t>
      </w:r>
      <w:r>
        <w:rPr>
          <w:rFonts w:hint="eastAsia" w:ascii="仿宋_GB2312" w:hAnsi="仿宋_GB2312" w:eastAsia="仿宋_GB2312" w:cs="仿宋_GB2312"/>
          <w:sz w:val="32"/>
          <w:szCs w:val="32"/>
          <w:lang w:val="en-US" w:eastAsia="zh-CN"/>
        </w:rPr>
        <w:t>二季度上升，流动性比例较二季度下降</w:t>
      </w:r>
      <w:r>
        <w:rPr>
          <w:rFonts w:hint="default" w:ascii="仿宋_GB2312" w:hAnsi="仿宋_GB2312" w:eastAsia="仿宋_GB2312" w:cs="仿宋_GB2312"/>
          <w:sz w:val="32"/>
          <w:szCs w:val="32"/>
          <w:lang w:val="en-US" w:eastAsia="zh-CN"/>
        </w:rPr>
        <w:t>主要因公司存放同业规模</w:t>
      </w:r>
      <w:r>
        <w:rPr>
          <w:rFonts w:hint="eastAsia" w:ascii="仿宋_GB2312" w:hAnsi="仿宋_GB2312" w:eastAsia="仿宋_GB2312" w:cs="仿宋_GB2312"/>
          <w:sz w:val="32"/>
          <w:szCs w:val="32"/>
          <w:lang w:val="en-US" w:eastAsia="zh-CN"/>
        </w:rPr>
        <w:t>下降</w:t>
      </w:r>
      <w:r>
        <w:rPr>
          <w:rFonts w:hint="default" w:ascii="仿宋_GB2312" w:hAnsi="仿宋_GB2312" w:eastAsia="仿宋_GB2312" w:cs="仿宋_GB2312"/>
          <w:sz w:val="32"/>
          <w:szCs w:val="32"/>
          <w:lang w:val="en-US" w:eastAsia="zh-CN"/>
        </w:rPr>
        <w:t>所致。</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4AD3"/>
    <w:multiLevelType w:val="singleLevel"/>
    <w:tmpl w:val="BECB4A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000000"/>
    <w:rsid w:val="00004E94"/>
    <w:rsid w:val="000D2B94"/>
    <w:rsid w:val="00157AA5"/>
    <w:rsid w:val="001724F2"/>
    <w:rsid w:val="0017507E"/>
    <w:rsid w:val="00206D87"/>
    <w:rsid w:val="00274D6A"/>
    <w:rsid w:val="002D04C5"/>
    <w:rsid w:val="00317043"/>
    <w:rsid w:val="00332773"/>
    <w:rsid w:val="00377486"/>
    <w:rsid w:val="00513236"/>
    <w:rsid w:val="006D4F0D"/>
    <w:rsid w:val="0074681B"/>
    <w:rsid w:val="00760946"/>
    <w:rsid w:val="007F109F"/>
    <w:rsid w:val="007F4F22"/>
    <w:rsid w:val="00951B85"/>
    <w:rsid w:val="009B5246"/>
    <w:rsid w:val="009F1670"/>
    <w:rsid w:val="00A553F8"/>
    <w:rsid w:val="00A96741"/>
    <w:rsid w:val="00AE7107"/>
    <w:rsid w:val="00B52969"/>
    <w:rsid w:val="00BD2E6C"/>
    <w:rsid w:val="00C45D2F"/>
    <w:rsid w:val="00D74AA9"/>
    <w:rsid w:val="00D919E6"/>
    <w:rsid w:val="00DA3316"/>
    <w:rsid w:val="00EA0D67"/>
    <w:rsid w:val="00FC205B"/>
    <w:rsid w:val="00FC42FB"/>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55A96"/>
    <w:rsid w:val="03AB04B2"/>
    <w:rsid w:val="03C65559"/>
    <w:rsid w:val="03CD2C00"/>
    <w:rsid w:val="03CF2387"/>
    <w:rsid w:val="03D51671"/>
    <w:rsid w:val="03E371CB"/>
    <w:rsid w:val="03EB33C6"/>
    <w:rsid w:val="03F6771F"/>
    <w:rsid w:val="03F85DA7"/>
    <w:rsid w:val="04026C73"/>
    <w:rsid w:val="040C1CD1"/>
    <w:rsid w:val="04123CC2"/>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56D81"/>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97165"/>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D60585"/>
    <w:rsid w:val="0BDA698E"/>
    <w:rsid w:val="0BE1016F"/>
    <w:rsid w:val="0BE73F95"/>
    <w:rsid w:val="0BEB4D62"/>
    <w:rsid w:val="0BF731D7"/>
    <w:rsid w:val="0BFC3E04"/>
    <w:rsid w:val="0C023121"/>
    <w:rsid w:val="0C053045"/>
    <w:rsid w:val="0C0D35A8"/>
    <w:rsid w:val="0C1037D8"/>
    <w:rsid w:val="0C144A10"/>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1E4D42"/>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172FEE"/>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5C"/>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3500D"/>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E86A50"/>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42DC7"/>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80F65"/>
    <w:rsid w:val="1ADE0698"/>
    <w:rsid w:val="1AEF7A25"/>
    <w:rsid w:val="1AF13DEF"/>
    <w:rsid w:val="1B051723"/>
    <w:rsid w:val="1B0F74BB"/>
    <w:rsid w:val="1B120A1C"/>
    <w:rsid w:val="1B1C7337"/>
    <w:rsid w:val="1B1D3C19"/>
    <w:rsid w:val="1B1E5A42"/>
    <w:rsid w:val="1B2B4350"/>
    <w:rsid w:val="1B362841"/>
    <w:rsid w:val="1B3826ED"/>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187827"/>
    <w:rsid w:val="20294CF9"/>
    <w:rsid w:val="2036277E"/>
    <w:rsid w:val="20362853"/>
    <w:rsid w:val="20393808"/>
    <w:rsid w:val="203E7CCD"/>
    <w:rsid w:val="20453B6D"/>
    <w:rsid w:val="2048437F"/>
    <w:rsid w:val="20592A06"/>
    <w:rsid w:val="205E0873"/>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03037"/>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7E52E0"/>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A5B2B"/>
    <w:rsid w:val="294B2C08"/>
    <w:rsid w:val="29587D46"/>
    <w:rsid w:val="29616509"/>
    <w:rsid w:val="29626FFE"/>
    <w:rsid w:val="29726969"/>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9B677B"/>
    <w:rsid w:val="2AAC0562"/>
    <w:rsid w:val="2AB068B9"/>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220136"/>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D32B2"/>
    <w:rsid w:val="2D3E1438"/>
    <w:rsid w:val="2D41576F"/>
    <w:rsid w:val="2D57291B"/>
    <w:rsid w:val="2D581ACF"/>
    <w:rsid w:val="2D691173"/>
    <w:rsid w:val="2D6A3D37"/>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01DA4"/>
    <w:rsid w:val="2F427F49"/>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652ED"/>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C263C3"/>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4408DA"/>
    <w:rsid w:val="37453A8A"/>
    <w:rsid w:val="374969F7"/>
    <w:rsid w:val="376114F2"/>
    <w:rsid w:val="376C1CDA"/>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A1731"/>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A4620"/>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844BF"/>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C6614"/>
    <w:rsid w:val="49F56354"/>
    <w:rsid w:val="49FF428E"/>
    <w:rsid w:val="4A03271F"/>
    <w:rsid w:val="4A0D108A"/>
    <w:rsid w:val="4A1A42BA"/>
    <w:rsid w:val="4A34692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892C86"/>
    <w:rsid w:val="4D894893"/>
    <w:rsid w:val="4D902AED"/>
    <w:rsid w:val="4D9534CF"/>
    <w:rsid w:val="4D9A53C9"/>
    <w:rsid w:val="4D9E611D"/>
    <w:rsid w:val="4D9F3FD9"/>
    <w:rsid w:val="4DA1650C"/>
    <w:rsid w:val="4DA414E5"/>
    <w:rsid w:val="4DA94A8E"/>
    <w:rsid w:val="4DAD6F17"/>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CC45E4"/>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8725A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A22C3E"/>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D4771"/>
    <w:rsid w:val="62440CE8"/>
    <w:rsid w:val="6265599C"/>
    <w:rsid w:val="6269720A"/>
    <w:rsid w:val="626E660F"/>
    <w:rsid w:val="62721843"/>
    <w:rsid w:val="628E406A"/>
    <w:rsid w:val="629152C2"/>
    <w:rsid w:val="62A149BB"/>
    <w:rsid w:val="62CB4942"/>
    <w:rsid w:val="62CC17C2"/>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EF742E"/>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34EFD"/>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6FFF16B4"/>
    <w:rsid w:val="7006728D"/>
    <w:rsid w:val="700B727E"/>
    <w:rsid w:val="700D3CE6"/>
    <w:rsid w:val="70124CCC"/>
    <w:rsid w:val="7012558D"/>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6B5AB4"/>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E2F66"/>
    <w:rsid w:val="756215EC"/>
    <w:rsid w:val="75687F77"/>
    <w:rsid w:val="756B6796"/>
    <w:rsid w:val="75753EC5"/>
    <w:rsid w:val="75870B09"/>
    <w:rsid w:val="75A955C6"/>
    <w:rsid w:val="75B84249"/>
    <w:rsid w:val="75BA1535"/>
    <w:rsid w:val="75BD39A4"/>
    <w:rsid w:val="75C21761"/>
    <w:rsid w:val="75DA5C28"/>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081925"/>
    <w:rsid w:val="77114B3B"/>
    <w:rsid w:val="772013D8"/>
    <w:rsid w:val="77236E34"/>
    <w:rsid w:val="7734311F"/>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D847F7"/>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仿宋_GB2312" w:eastAsia="仿宋_GB2312" w:cs="仿宋_GB2312"/>
      <w:b/>
      <w:bCs/>
      <w:color w:val="000000"/>
      <w:sz w:val="28"/>
      <w:szCs w:val="28"/>
      <w:u w:val="none"/>
    </w:rPr>
  </w:style>
  <w:style w:type="character" w:customStyle="1" w:styleId="5">
    <w:name w:val="font31"/>
    <w:basedOn w:val="3"/>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785</Words>
  <Characters>1194</Characters>
  <Lines>0</Lines>
  <Paragraphs>0</Paragraphs>
  <TotalTime>11</TotalTime>
  <ScaleCrop>false</ScaleCrop>
  <LinksUpToDate>false</LinksUpToDate>
  <CharactersWithSpaces>1202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2024-10-21T01:36:13Z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