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8C738" w14:textId="77777777" w:rsidR="003B76E8" w:rsidRPr="00FC7274" w:rsidRDefault="00000000">
      <w:pPr>
        <w:spacing w:line="580" w:lineRule="exact"/>
        <w:ind w:firstLineChars="200" w:firstLine="720"/>
        <w:jc w:val="center"/>
        <w:rPr>
          <w:rFonts w:ascii="方正小标宋简体" w:eastAsia="方正小标宋简体" w:hAnsi="黑体" w:cs="黑体" w:hint="eastAsia"/>
          <w:sz w:val="36"/>
          <w:szCs w:val="36"/>
        </w:rPr>
      </w:pPr>
      <w:r w:rsidRPr="00FC7274">
        <w:rPr>
          <w:rFonts w:ascii="方正小标宋简体" w:eastAsia="方正小标宋简体" w:hAnsi="黑体" w:cs="黑体" w:hint="eastAsia"/>
          <w:sz w:val="36"/>
          <w:szCs w:val="36"/>
        </w:rPr>
        <w:t>中联重科集团财务有限公司资本管理第三支柱2024年第四季度报告</w:t>
      </w:r>
    </w:p>
    <w:p w14:paraId="1B1F8EF4" w14:textId="77777777" w:rsidR="003B76E8" w:rsidRDefault="003B76E8">
      <w:pPr>
        <w:spacing w:line="580" w:lineRule="exact"/>
        <w:ind w:firstLineChars="200" w:firstLine="720"/>
        <w:jc w:val="center"/>
        <w:rPr>
          <w:rFonts w:ascii="黑体" w:eastAsia="黑体" w:hAnsi="黑体" w:cs="黑体" w:hint="eastAsia"/>
          <w:sz w:val="36"/>
          <w:szCs w:val="36"/>
        </w:rPr>
      </w:pPr>
    </w:p>
    <w:p w14:paraId="24BBF7CA" w14:textId="77777777" w:rsidR="003B76E8"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四季度第三支柱信息。</w:t>
      </w:r>
    </w:p>
    <w:p w14:paraId="5A1DCF5B" w14:textId="77777777" w:rsidR="003B76E8"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根据办法及通知，公司此次披露表格：监管并表关键审慎监管指标(KMI)和资本构成（CC1），2024年四季度公司需披露报表如下：</w:t>
      </w:r>
    </w:p>
    <w:p w14:paraId="44A8C122"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1905FE7C"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16009951"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300669BB"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0112F258"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4EE7D16A"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2E59B93C"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4323FD0D"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56AFB5C9"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2DDDC699"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pPr>
    </w:p>
    <w:p w14:paraId="3018A89C" w14:textId="77777777" w:rsidR="003B76E8" w:rsidRDefault="003B76E8">
      <w:pPr>
        <w:spacing w:line="580" w:lineRule="exact"/>
        <w:ind w:firstLineChars="200" w:firstLine="640"/>
        <w:jc w:val="center"/>
        <w:rPr>
          <w:rFonts w:ascii="仿宋_GB2312" w:eastAsia="仿宋_GB2312" w:hAnsi="仿宋_GB2312" w:cs="仿宋_GB2312" w:hint="eastAsia"/>
          <w:sz w:val="32"/>
          <w:szCs w:val="32"/>
        </w:rPr>
        <w:sectPr w:rsidR="003B76E8">
          <w:pgSz w:w="11906" w:h="16838"/>
          <w:pgMar w:top="1440" w:right="1800" w:bottom="1440" w:left="1800" w:header="851" w:footer="992" w:gutter="0"/>
          <w:cols w:space="425"/>
          <w:docGrid w:type="lines" w:linePitch="312"/>
        </w:sectPr>
      </w:pPr>
    </w:p>
    <w:p w14:paraId="3D093805" w14:textId="77777777" w:rsidR="003B76E8" w:rsidRDefault="00000000">
      <w:pPr>
        <w:spacing w:line="580" w:lineRule="exact"/>
        <w:ind w:firstLineChars="200" w:firstLine="64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KMI监管并表关键审慎监管指标</w:t>
      </w:r>
    </w:p>
    <w:p w14:paraId="25B6FF5F" w14:textId="77777777" w:rsidR="003B76E8" w:rsidRDefault="00000000">
      <w:pPr>
        <w:spacing w:line="580" w:lineRule="exact"/>
        <w:ind w:firstLineChars="200" w:firstLine="640"/>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单位：人民币万元</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6"/>
        <w:gridCol w:w="4574"/>
        <w:gridCol w:w="1852"/>
        <w:gridCol w:w="1794"/>
        <w:gridCol w:w="1732"/>
        <w:gridCol w:w="1794"/>
        <w:gridCol w:w="1852"/>
      </w:tblGrid>
      <w:tr w:rsidR="003B76E8" w:rsidRPr="007471A1" w14:paraId="4E05C551" w14:textId="77777777">
        <w:trPr>
          <w:trHeight w:val="375"/>
        </w:trPr>
        <w:tc>
          <w:tcPr>
            <w:tcW w:w="0" w:type="auto"/>
            <w:gridSpan w:val="2"/>
            <w:tcBorders>
              <w:left w:val="single" w:sz="4" w:space="0" w:color="auto"/>
            </w:tcBorders>
            <w:vAlign w:val="center"/>
          </w:tcPr>
          <w:p w14:paraId="786F9409"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项目</w:t>
            </w:r>
          </w:p>
        </w:tc>
        <w:tc>
          <w:tcPr>
            <w:tcW w:w="0" w:type="auto"/>
            <w:tcBorders>
              <w:right w:val="single" w:sz="4" w:space="0" w:color="auto"/>
            </w:tcBorders>
            <w:vAlign w:val="center"/>
          </w:tcPr>
          <w:p w14:paraId="6B8F03C5"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2024年12月31日</w:t>
            </w:r>
          </w:p>
        </w:tc>
        <w:tc>
          <w:tcPr>
            <w:tcW w:w="0" w:type="auto"/>
            <w:tcBorders>
              <w:right w:val="single" w:sz="4" w:space="0" w:color="auto"/>
            </w:tcBorders>
            <w:vAlign w:val="center"/>
          </w:tcPr>
          <w:p w14:paraId="689088FC"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2024年9月30日</w:t>
            </w:r>
          </w:p>
        </w:tc>
        <w:tc>
          <w:tcPr>
            <w:tcW w:w="0" w:type="auto"/>
            <w:tcBorders>
              <w:right w:val="single" w:sz="4" w:space="0" w:color="auto"/>
            </w:tcBorders>
            <w:vAlign w:val="center"/>
          </w:tcPr>
          <w:p w14:paraId="0BE42575"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2024年6月30日</w:t>
            </w:r>
          </w:p>
        </w:tc>
        <w:tc>
          <w:tcPr>
            <w:tcW w:w="0" w:type="auto"/>
            <w:tcBorders>
              <w:right w:val="single" w:sz="4" w:space="0" w:color="auto"/>
            </w:tcBorders>
            <w:vAlign w:val="center"/>
          </w:tcPr>
          <w:p w14:paraId="4A7DC149"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2024年3月31日</w:t>
            </w:r>
          </w:p>
        </w:tc>
        <w:tc>
          <w:tcPr>
            <w:tcW w:w="0" w:type="auto"/>
            <w:tcBorders>
              <w:right w:val="single" w:sz="4" w:space="0" w:color="auto"/>
            </w:tcBorders>
            <w:vAlign w:val="center"/>
          </w:tcPr>
          <w:p w14:paraId="556CE7CF"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2023年12月31日</w:t>
            </w:r>
          </w:p>
        </w:tc>
      </w:tr>
      <w:tr w:rsidR="003B76E8" w:rsidRPr="007471A1" w14:paraId="56C4B773" w14:textId="77777777">
        <w:trPr>
          <w:trHeight w:val="330"/>
        </w:trPr>
        <w:tc>
          <w:tcPr>
            <w:tcW w:w="0" w:type="auto"/>
            <w:tcBorders>
              <w:left w:val="single" w:sz="4" w:space="0" w:color="auto"/>
            </w:tcBorders>
            <w:vAlign w:val="center"/>
          </w:tcPr>
          <w:p w14:paraId="4E6F9B7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w:t>
            </w:r>
          </w:p>
        </w:tc>
        <w:tc>
          <w:tcPr>
            <w:tcW w:w="0" w:type="auto"/>
            <w:vAlign w:val="center"/>
          </w:tcPr>
          <w:p w14:paraId="2AAB819E"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核心一级资本净额</w:t>
            </w:r>
          </w:p>
        </w:tc>
        <w:tc>
          <w:tcPr>
            <w:tcW w:w="0" w:type="auto"/>
            <w:tcBorders>
              <w:right w:val="single" w:sz="4" w:space="0" w:color="auto"/>
            </w:tcBorders>
            <w:vAlign w:val="center"/>
          </w:tcPr>
          <w:p w14:paraId="1098410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231426.99</w:t>
            </w:r>
          </w:p>
        </w:tc>
        <w:tc>
          <w:tcPr>
            <w:tcW w:w="0" w:type="auto"/>
            <w:tcBorders>
              <w:right w:val="single" w:sz="4" w:space="0" w:color="auto"/>
            </w:tcBorders>
            <w:vAlign w:val="center"/>
          </w:tcPr>
          <w:p w14:paraId="3C03469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231816.27</w:t>
            </w:r>
          </w:p>
        </w:tc>
        <w:tc>
          <w:tcPr>
            <w:tcW w:w="0" w:type="auto"/>
            <w:tcBorders>
              <w:right w:val="single" w:sz="4" w:space="0" w:color="auto"/>
            </w:tcBorders>
            <w:vAlign w:val="center"/>
          </w:tcPr>
          <w:p w14:paraId="64B8E12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230693.44</w:t>
            </w:r>
          </w:p>
        </w:tc>
        <w:tc>
          <w:tcPr>
            <w:tcW w:w="0" w:type="auto"/>
            <w:tcBorders>
              <w:right w:val="single" w:sz="4" w:space="0" w:color="auto"/>
            </w:tcBorders>
            <w:vAlign w:val="center"/>
          </w:tcPr>
          <w:p w14:paraId="23A2997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228973.65</w:t>
            </w:r>
          </w:p>
        </w:tc>
        <w:tc>
          <w:tcPr>
            <w:tcW w:w="0" w:type="auto"/>
            <w:tcBorders>
              <w:right w:val="single" w:sz="4" w:space="0" w:color="auto"/>
            </w:tcBorders>
            <w:vAlign w:val="center"/>
          </w:tcPr>
          <w:p w14:paraId="2FE7481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225192.86</w:t>
            </w:r>
          </w:p>
        </w:tc>
      </w:tr>
      <w:tr w:rsidR="003B76E8" w:rsidRPr="007471A1" w14:paraId="41D524E7" w14:textId="77777777">
        <w:trPr>
          <w:trHeight w:val="330"/>
        </w:trPr>
        <w:tc>
          <w:tcPr>
            <w:tcW w:w="0" w:type="auto"/>
            <w:tcBorders>
              <w:left w:val="single" w:sz="4" w:space="0" w:color="auto"/>
            </w:tcBorders>
            <w:vAlign w:val="center"/>
          </w:tcPr>
          <w:p w14:paraId="53BE999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2</w:t>
            </w:r>
          </w:p>
        </w:tc>
        <w:tc>
          <w:tcPr>
            <w:tcW w:w="0" w:type="auto"/>
            <w:vAlign w:val="center"/>
          </w:tcPr>
          <w:p w14:paraId="5217BF8D"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一级资本净额</w:t>
            </w:r>
          </w:p>
        </w:tc>
        <w:tc>
          <w:tcPr>
            <w:tcW w:w="0" w:type="auto"/>
            <w:tcBorders>
              <w:right w:val="single" w:sz="4" w:space="0" w:color="auto"/>
            </w:tcBorders>
            <w:vAlign w:val="center"/>
          </w:tcPr>
          <w:p w14:paraId="741C61C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231426.99</w:t>
            </w:r>
          </w:p>
        </w:tc>
        <w:tc>
          <w:tcPr>
            <w:tcW w:w="0" w:type="auto"/>
            <w:tcBorders>
              <w:right w:val="single" w:sz="4" w:space="0" w:color="auto"/>
            </w:tcBorders>
            <w:vAlign w:val="center"/>
          </w:tcPr>
          <w:p w14:paraId="7FE1170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231816.27</w:t>
            </w:r>
          </w:p>
        </w:tc>
        <w:tc>
          <w:tcPr>
            <w:tcW w:w="0" w:type="auto"/>
            <w:tcBorders>
              <w:right w:val="single" w:sz="4" w:space="0" w:color="auto"/>
            </w:tcBorders>
            <w:vAlign w:val="center"/>
          </w:tcPr>
          <w:p w14:paraId="793CE5F7"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230693.44</w:t>
            </w:r>
          </w:p>
        </w:tc>
        <w:tc>
          <w:tcPr>
            <w:tcW w:w="0" w:type="auto"/>
            <w:tcBorders>
              <w:right w:val="single" w:sz="4" w:space="0" w:color="auto"/>
            </w:tcBorders>
            <w:vAlign w:val="center"/>
          </w:tcPr>
          <w:p w14:paraId="304F3C2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228973.65</w:t>
            </w:r>
          </w:p>
        </w:tc>
        <w:tc>
          <w:tcPr>
            <w:tcW w:w="0" w:type="auto"/>
            <w:tcBorders>
              <w:right w:val="single" w:sz="4" w:space="0" w:color="auto"/>
            </w:tcBorders>
            <w:vAlign w:val="center"/>
          </w:tcPr>
          <w:p w14:paraId="6AC27A27"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225192.86</w:t>
            </w:r>
          </w:p>
        </w:tc>
      </w:tr>
      <w:tr w:rsidR="003B76E8" w:rsidRPr="007471A1" w14:paraId="0104E24D" w14:textId="77777777">
        <w:trPr>
          <w:trHeight w:val="330"/>
        </w:trPr>
        <w:tc>
          <w:tcPr>
            <w:tcW w:w="0" w:type="auto"/>
            <w:tcBorders>
              <w:left w:val="single" w:sz="4" w:space="0" w:color="auto"/>
            </w:tcBorders>
            <w:vAlign w:val="center"/>
          </w:tcPr>
          <w:p w14:paraId="28F579A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3</w:t>
            </w:r>
          </w:p>
        </w:tc>
        <w:tc>
          <w:tcPr>
            <w:tcW w:w="0" w:type="auto"/>
            <w:vAlign w:val="center"/>
          </w:tcPr>
          <w:p w14:paraId="6C47C271"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资本净额</w:t>
            </w:r>
          </w:p>
        </w:tc>
        <w:tc>
          <w:tcPr>
            <w:tcW w:w="0" w:type="auto"/>
            <w:tcBorders>
              <w:right w:val="single" w:sz="4" w:space="0" w:color="auto"/>
            </w:tcBorders>
            <w:vAlign w:val="center"/>
          </w:tcPr>
          <w:p w14:paraId="17FB68A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241405.25</w:t>
            </w:r>
          </w:p>
        </w:tc>
        <w:tc>
          <w:tcPr>
            <w:tcW w:w="0" w:type="auto"/>
            <w:tcBorders>
              <w:right w:val="single" w:sz="4" w:space="0" w:color="auto"/>
            </w:tcBorders>
            <w:vAlign w:val="center"/>
          </w:tcPr>
          <w:p w14:paraId="22EAB56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239167.03</w:t>
            </w:r>
          </w:p>
        </w:tc>
        <w:tc>
          <w:tcPr>
            <w:tcW w:w="0" w:type="auto"/>
            <w:tcBorders>
              <w:right w:val="single" w:sz="4" w:space="0" w:color="auto"/>
            </w:tcBorders>
            <w:vAlign w:val="center"/>
          </w:tcPr>
          <w:p w14:paraId="213DBEA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238915.53</w:t>
            </w:r>
          </w:p>
        </w:tc>
        <w:tc>
          <w:tcPr>
            <w:tcW w:w="0" w:type="auto"/>
            <w:tcBorders>
              <w:right w:val="single" w:sz="4" w:space="0" w:color="auto"/>
            </w:tcBorders>
            <w:vAlign w:val="center"/>
          </w:tcPr>
          <w:p w14:paraId="58C7FA2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235372.03</w:t>
            </w:r>
          </w:p>
        </w:tc>
        <w:tc>
          <w:tcPr>
            <w:tcW w:w="0" w:type="auto"/>
            <w:tcBorders>
              <w:right w:val="single" w:sz="4" w:space="0" w:color="auto"/>
            </w:tcBorders>
            <w:vAlign w:val="center"/>
          </w:tcPr>
          <w:p w14:paraId="0AD3F90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234533.87</w:t>
            </w:r>
          </w:p>
        </w:tc>
      </w:tr>
      <w:tr w:rsidR="003B76E8" w:rsidRPr="007471A1" w14:paraId="597DE1FD" w14:textId="77777777">
        <w:trPr>
          <w:trHeight w:val="330"/>
        </w:trPr>
        <w:tc>
          <w:tcPr>
            <w:tcW w:w="0" w:type="auto"/>
            <w:tcBorders>
              <w:left w:val="single" w:sz="4" w:space="0" w:color="auto"/>
            </w:tcBorders>
            <w:vAlign w:val="center"/>
          </w:tcPr>
          <w:p w14:paraId="336A614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4</w:t>
            </w:r>
          </w:p>
        </w:tc>
        <w:tc>
          <w:tcPr>
            <w:tcW w:w="0" w:type="auto"/>
            <w:vAlign w:val="center"/>
          </w:tcPr>
          <w:p w14:paraId="13223783"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风险加权资产</w:t>
            </w:r>
          </w:p>
        </w:tc>
        <w:tc>
          <w:tcPr>
            <w:tcW w:w="0" w:type="auto"/>
            <w:tcBorders>
              <w:right w:val="single" w:sz="4" w:space="0" w:color="auto"/>
            </w:tcBorders>
            <w:vAlign w:val="center"/>
          </w:tcPr>
          <w:p w14:paraId="22B8585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830856.47</w:t>
            </w:r>
          </w:p>
        </w:tc>
        <w:tc>
          <w:tcPr>
            <w:tcW w:w="0" w:type="auto"/>
            <w:tcBorders>
              <w:right w:val="single" w:sz="4" w:space="0" w:color="auto"/>
            </w:tcBorders>
            <w:vAlign w:val="center"/>
          </w:tcPr>
          <w:p w14:paraId="15220F8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616956.68</w:t>
            </w:r>
          </w:p>
        </w:tc>
        <w:tc>
          <w:tcPr>
            <w:tcW w:w="0" w:type="auto"/>
            <w:tcBorders>
              <w:right w:val="single" w:sz="4" w:space="0" w:color="auto"/>
            </w:tcBorders>
            <w:vAlign w:val="center"/>
          </w:tcPr>
          <w:p w14:paraId="56BBAC2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687533.71</w:t>
            </w:r>
          </w:p>
        </w:tc>
        <w:tc>
          <w:tcPr>
            <w:tcW w:w="0" w:type="auto"/>
            <w:tcBorders>
              <w:right w:val="single" w:sz="4" w:space="0" w:color="auto"/>
            </w:tcBorders>
            <w:vAlign w:val="center"/>
          </w:tcPr>
          <w:p w14:paraId="78C7B25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539814.26</w:t>
            </w:r>
          </w:p>
        </w:tc>
        <w:tc>
          <w:tcPr>
            <w:tcW w:w="0" w:type="auto"/>
            <w:tcBorders>
              <w:right w:val="single" w:sz="4" w:space="0" w:color="auto"/>
            </w:tcBorders>
            <w:vAlign w:val="center"/>
          </w:tcPr>
          <w:p w14:paraId="201179E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778166.98</w:t>
            </w:r>
          </w:p>
        </w:tc>
      </w:tr>
      <w:tr w:rsidR="003B76E8" w:rsidRPr="007471A1" w14:paraId="6FB748B9" w14:textId="77777777">
        <w:trPr>
          <w:trHeight w:val="455"/>
        </w:trPr>
        <w:tc>
          <w:tcPr>
            <w:tcW w:w="0" w:type="auto"/>
            <w:tcBorders>
              <w:left w:val="single" w:sz="4" w:space="0" w:color="auto"/>
            </w:tcBorders>
            <w:vAlign w:val="center"/>
          </w:tcPr>
          <w:p w14:paraId="4D538FA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5</w:t>
            </w:r>
          </w:p>
        </w:tc>
        <w:tc>
          <w:tcPr>
            <w:tcW w:w="0" w:type="auto"/>
            <w:vAlign w:val="center"/>
          </w:tcPr>
          <w:p w14:paraId="19BB1DB0"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核心一级资本充足率（</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3A6EB3D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27.85%</w:t>
            </w:r>
          </w:p>
        </w:tc>
        <w:tc>
          <w:tcPr>
            <w:tcW w:w="0" w:type="auto"/>
            <w:tcBorders>
              <w:right w:val="single" w:sz="4" w:space="0" w:color="auto"/>
            </w:tcBorders>
            <w:vAlign w:val="center"/>
          </w:tcPr>
          <w:p w14:paraId="43F717B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37.57%</w:t>
            </w:r>
          </w:p>
        </w:tc>
        <w:tc>
          <w:tcPr>
            <w:tcW w:w="0" w:type="auto"/>
            <w:tcBorders>
              <w:right w:val="single" w:sz="4" w:space="0" w:color="auto"/>
            </w:tcBorders>
            <w:vAlign w:val="center"/>
          </w:tcPr>
          <w:p w14:paraId="795515E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33.55%</w:t>
            </w:r>
          </w:p>
        </w:tc>
        <w:tc>
          <w:tcPr>
            <w:tcW w:w="0" w:type="auto"/>
            <w:tcBorders>
              <w:right w:val="single" w:sz="4" w:space="0" w:color="auto"/>
            </w:tcBorders>
            <w:vAlign w:val="center"/>
          </w:tcPr>
          <w:p w14:paraId="5035292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42.42%</w:t>
            </w:r>
          </w:p>
        </w:tc>
        <w:tc>
          <w:tcPr>
            <w:tcW w:w="0" w:type="auto"/>
            <w:tcBorders>
              <w:right w:val="single" w:sz="4" w:space="0" w:color="auto"/>
            </w:tcBorders>
            <w:vAlign w:val="center"/>
          </w:tcPr>
          <w:p w14:paraId="2277F9C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28.94%</w:t>
            </w:r>
          </w:p>
        </w:tc>
      </w:tr>
      <w:tr w:rsidR="003B76E8" w:rsidRPr="007471A1" w14:paraId="69024365" w14:textId="77777777">
        <w:trPr>
          <w:trHeight w:val="330"/>
        </w:trPr>
        <w:tc>
          <w:tcPr>
            <w:tcW w:w="0" w:type="auto"/>
            <w:tcBorders>
              <w:left w:val="single" w:sz="4" w:space="0" w:color="auto"/>
            </w:tcBorders>
            <w:vAlign w:val="center"/>
          </w:tcPr>
          <w:p w14:paraId="656DC8D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6</w:t>
            </w:r>
          </w:p>
        </w:tc>
        <w:tc>
          <w:tcPr>
            <w:tcW w:w="0" w:type="auto"/>
            <w:vAlign w:val="center"/>
          </w:tcPr>
          <w:p w14:paraId="3FBE754F"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一级资本充足率（</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08A7410D"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27.85%</w:t>
            </w:r>
          </w:p>
        </w:tc>
        <w:tc>
          <w:tcPr>
            <w:tcW w:w="0" w:type="auto"/>
            <w:tcBorders>
              <w:right w:val="single" w:sz="4" w:space="0" w:color="auto"/>
            </w:tcBorders>
            <w:vAlign w:val="center"/>
          </w:tcPr>
          <w:p w14:paraId="1377520A"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37.57%</w:t>
            </w:r>
          </w:p>
        </w:tc>
        <w:tc>
          <w:tcPr>
            <w:tcW w:w="0" w:type="auto"/>
            <w:tcBorders>
              <w:right w:val="single" w:sz="4" w:space="0" w:color="auto"/>
            </w:tcBorders>
            <w:vAlign w:val="center"/>
          </w:tcPr>
          <w:p w14:paraId="6392F397"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33.55%</w:t>
            </w:r>
          </w:p>
        </w:tc>
        <w:tc>
          <w:tcPr>
            <w:tcW w:w="0" w:type="auto"/>
            <w:tcBorders>
              <w:right w:val="single" w:sz="4" w:space="0" w:color="auto"/>
            </w:tcBorders>
            <w:vAlign w:val="center"/>
          </w:tcPr>
          <w:p w14:paraId="1797DD4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42.42%</w:t>
            </w:r>
          </w:p>
        </w:tc>
        <w:tc>
          <w:tcPr>
            <w:tcW w:w="0" w:type="auto"/>
            <w:tcBorders>
              <w:right w:val="single" w:sz="4" w:space="0" w:color="auto"/>
            </w:tcBorders>
            <w:vAlign w:val="center"/>
          </w:tcPr>
          <w:p w14:paraId="38106BB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28.94%</w:t>
            </w:r>
          </w:p>
        </w:tc>
      </w:tr>
      <w:tr w:rsidR="003B76E8" w:rsidRPr="007471A1" w14:paraId="303DA51B" w14:textId="77777777">
        <w:trPr>
          <w:trHeight w:val="330"/>
        </w:trPr>
        <w:tc>
          <w:tcPr>
            <w:tcW w:w="0" w:type="auto"/>
            <w:tcBorders>
              <w:left w:val="single" w:sz="4" w:space="0" w:color="auto"/>
            </w:tcBorders>
            <w:vAlign w:val="center"/>
          </w:tcPr>
          <w:p w14:paraId="16E05EB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7</w:t>
            </w:r>
          </w:p>
        </w:tc>
        <w:tc>
          <w:tcPr>
            <w:tcW w:w="0" w:type="auto"/>
            <w:vAlign w:val="center"/>
          </w:tcPr>
          <w:p w14:paraId="389DA6CF"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资本充足率（</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13152C5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29.05%</w:t>
            </w:r>
          </w:p>
        </w:tc>
        <w:tc>
          <w:tcPr>
            <w:tcW w:w="0" w:type="auto"/>
            <w:tcBorders>
              <w:right w:val="single" w:sz="4" w:space="0" w:color="auto"/>
            </w:tcBorders>
            <w:vAlign w:val="center"/>
          </w:tcPr>
          <w:p w14:paraId="2E53CB7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38.77%</w:t>
            </w:r>
          </w:p>
        </w:tc>
        <w:tc>
          <w:tcPr>
            <w:tcW w:w="0" w:type="auto"/>
            <w:tcBorders>
              <w:right w:val="single" w:sz="4" w:space="0" w:color="auto"/>
            </w:tcBorders>
            <w:vAlign w:val="center"/>
          </w:tcPr>
          <w:p w14:paraId="5FB192B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34.75%</w:t>
            </w:r>
          </w:p>
        </w:tc>
        <w:tc>
          <w:tcPr>
            <w:tcW w:w="0" w:type="auto"/>
            <w:tcBorders>
              <w:right w:val="single" w:sz="4" w:space="0" w:color="auto"/>
            </w:tcBorders>
            <w:vAlign w:val="center"/>
          </w:tcPr>
          <w:p w14:paraId="3A561AF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43.60%</w:t>
            </w:r>
          </w:p>
        </w:tc>
        <w:tc>
          <w:tcPr>
            <w:tcW w:w="0" w:type="auto"/>
            <w:tcBorders>
              <w:right w:val="single" w:sz="4" w:space="0" w:color="auto"/>
            </w:tcBorders>
            <w:vAlign w:val="center"/>
          </w:tcPr>
          <w:p w14:paraId="1455878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30.14%</w:t>
            </w:r>
          </w:p>
        </w:tc>
      </w:tr>
      <w:tr w:rsidR="003B76E8" w:rsidRPr="007471A1" w14:paraId="0D6A34D6" w14:textId="77777777">
        <w:trPr>
          <w:trHeight w:val="355"/>
        </w:trPr>
        <w:tc>
          <w:tcPr>
            <w:tcW w:w="0" w:type="auto"/>
            <w:tcBorders>
              <w:left w:val="single" w:sz="4" w:space="0" w:color="auto"/>
            </w:tcBorders>
            <w:vAlign w:val="center"/>
          </w:tcPr>
          <w:p w14:paraId="47F3CCD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8</w:t>
            </w:r>
          </w:p>
        </w:tc>
        <w:tc>
          <w:tcPr>
            <w:tcW w:w="0" w:type="auto"/>
            <w:vAlign w:val="center"/>
          </w:tcPr>
          <w:p w14:paraId="6F05E0EA"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储备资本要求</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4F92738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4067126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4D3AE0A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66C82BB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28422AA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r>
      <w:tr w:rsidR="003B76E8" w:rsidRPr="007471A1" w14:paraId="24F821C0" w14:textId="77777777">
        <w:trPr>
          <w:trHeight w:val="330"/>
        </w:trPr>
        <w:tc>
          <w:tcPr>
            <w:tcW w:w="0" w:type="auto"/>
            <w:tcBorders>
              <w:left w:val="single" w:sz="4" w:space="0" w:color="auto"/>
            </w:tcBorders>
            <w:vAlign w:val="center"/>
          </w:tcPr>
          <w:p w14:paraId="3E79C11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9</w:t>
            </w:r>
          </w:p>
        </w:tc>
        <w:tc>
          <w:tcPr>
            <w:tcW w:w="0" w:type="auto"/>
            <w:vAlign w:val="center"/>
          </w:tcPr>
          <w:p w14:paraId="5FF291C2"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逆周期资本要求（</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77CEB4F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0</w:t>
            </w:r>
          </w:p>
        </w:tc>
        <w:tc>
          <w:tcPr>
            <w:tcW w:w="0" w:type="auto"/>
            <w:tcBorders>
              <w:right w:val="single" w:sz="4" w:space="0" w:color="auto"/>
            </w:tcBorders>
            <w:vAlign w:val="center"/>
          </w:tcPr>
          <w:p w14:paraId="50013A6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0</w:t>
            </w:r>
          </w:p>
        </w:tc>
        <w:tc>
          <w:tcPr>
            <w:tcW w:w="0" w:type="auto"/>
            <w:tcBorders>
              <w:right w:val="single" w:sz="4" w:space="0" w:color="auto"/>
            </w:tcBorders>
            <w:vAlign w:val="center"/>
          </w:tcPr>
          <w:p w14:paraId="5A295C3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0</w:t>
            </w:r>
          </w:p>
        </w:tc>
        <w:tc>
          <w:tcPr>
            <w:tcW w:w="0" w:type="auto"/>
            <w:tcBorders>
              <w:right w:val="single" w:sz="4" w:space="0" w:color="auto"/>
            </w:tcBorders>
            <w:vAlign w:val="center"/>
          </w:tcPr>
          <w:p w14:paraId="7FC2FCD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0</w:t>
            </w:r>
          </w:p>
        </w:tc>
        <w:tc>
          <w:tcPr>
            <w:tcW w:w="0" w:type="auto"/>
            <w:tcBorders>
              <w:right w:val="single" w:sz="4" w:space="0" w:color="auto"/>
            </w:tcBorders>
            <w:vAlign w:val="center"/>
          </w:tcPr>
          <w:p w14:paraId="766BE9E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0</w:t>
            </w:r>
          </w:p>
        </w:tc>
      </w:tr>
      <w:tr w:rsidR="003B76E8" w:rsidRPr="007471A1" w14:paraId="3B04A3A7" w14:textId="77777777">
        <w:trPr>
          <w:trHeight w:val="660"/>
        </w:trPr>
        <w:tc>
          <w:tcPr>
            <w:tcW w:w="0" w:type="auto"/>
            <w:tcBorders>
              <w:left w:val="single" w:sz="4" w:space="0" w:color="auto"/>
            </w:tcBorders>
            <w:shd w:val="clear" w:color="auto" w:fill="auto"/>
            <w:vAlign w:val="center"/>
          </w:tcPr>
          <w:p w14:paraId="5E338177"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10</w:t>
            </w:r>
          </w:p>
        </w:tc>
        <w:tc>
          <w:tcPr>
            <w:tcW w:w="0" w:type="auto"/>
            <w:shd w:val="clear" w:color="auto" w:fill="auto"/>
            <w:vAlign w:val="center"/>
          </w:tcPr>
          <w:p w14:paraId="78FA8D57" w14:textId="77777777" w:rsidR="003B76E8" w:rsidRPr="007471A1" w:rsidRDefault="00000000" w:rsidP="007471A1">
            <w:pPr>
              <w:snapToGrid w:val="0"/>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全球系统重要性银行或国内系统重要性银行附加资本要求（</w:t>
            </w:r>
            <w:r w:rsidRPr="007471A1">
              <w:rPr>
                <w:rFonts w:ascii="仿宋_GB2312" w:eastAsia="仿宋_GB2312" w:hAnsi="仿宋" w:cs="Arial Unicode MS"/>
                <w:color w:val="000000" w:themeColor="text1"/>
                <w:sz w:val="24"/>
              </w:rPr>
              <w:t>%）</w:t>
            </w:r>
          </w:p>
        </w:tc>
        <w:tc>
          <w:tcPr>
            <w:tcW w:w="0" w:type="auto"/>
            <w:tcBorders>
              <w:right w:val="single" w:sz="4" w:space="0" w:color="auto"/>
            </w:tcBorders>
            <w:shd w:val="clear" w:color="auto" w:fill="BEBEBE"/>
            <w:vAlign w:val="center"/>
          </w:tcPr>
          <w:p w14:paraId="3F0D3E03"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w:t>
            </w:r>
          </w:p>
        </w:tc>
        <w:tc>
          <w:tcPr>
            <w:tcW w:w="0" w:type="auto"/>
            <w:tcBorders>
              <w:right w:val="single" w:sz="4" w:space="0" w:color="auto"/>
            </w:tcBorders>
            <w:shd w:val="clear" w:color="auto" w:fill="BEBEBE"/>
            <w:vAlign w:val="center"/>
          </w:tcPr>
          <w:p w14:paraId="7A10D938"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w:t>
            </w:r>
          </w:p>
        </w:tc>
        <w:tc>
          <w:tcPr>
            <w:tcW w:w="0" w:type="auto"/>
            <w:tcBorders>
              <w:right w:val="single" w:sz="4" w:space="0" w:color="auto"/>
            </w:tcBorders>
            <w:shd w:val="clear" w:color="auto" w:fill="BEBEBE"/>
            <w:vAlign w:val="center"/>
          </w:tcPr>
          <w:p w14:paraId="736A3B44"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w:t>
            </w:r>
          </w:p>
        </w:tc>
        <w:tc>
          <w:tcPr>
            <w:tcW w:w="0" w:type="auto"/>
            <w:tcBorders>
              <w:right w:val="single" w:sz="4" w:space="0" w:color="auto"/>
            </w:tcBorders>
            <w:shd w:val="clear" w:color="auto" w:fill="BEBEBE"/>
            <w:vAlign w:val="center"/>
          </w:tcPr>
          <w:p w14:paraId="4D709EB5"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w:t>
            </w:r>
          </w:p>
        </w:tc>
        <w:tc>
          <w:tcPr>
            <w:tcW w:w="0" w:type="auto"/>
            <w:tcBorders>
              <w:right w:val="single" w:sz="4" w:space="0" w:color="auto"/>
            </w:tcBorders>
            <w:shd w:val="clear" w:color="auto" w:fill="BEBEBE"/>
            <w:vAlign w:val="center"/>
          </w:tcPr>
          <w:p w14:paraId="74855B18" w14:textId="77777777" w:rsidR="003B76E8" w:rsidRPr="007471A1" w:rsidRDefault="00000000" w:rsidP="007471A1">
            <w:pPr>
              <w:snapToGrid w:val="0"/>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w:t>
            </w:r>
          </w:p>
        </w:tc>
      </w:tr>
      <w:tr w:rsidR="003B76E8" w:rsidRPr="007471A1" w14:paraId="1EC48696" w14:textId="77777777">
        <w:trPr>
          <w:trHeight w:val="351"/>
        </w:trPr>
        <w:tc>
          <w:tcPr>
            <w:tcW w:w="0" w:type="auto"/>
            <w:tcBorders>
              <w:left w:val="single" w:sz="4" w:space="0" w:color="auto"/>
            </w:tcBorders>
            <w:vAlign w:val="center"/>
          </w:tcPr>
          <w:p w14:paraId="3C0701E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11</w:t>
            </w:r>
          </w:p>
        </w:tc>
        <w:tc>
          <w:tcPr>
            <w:tcW w:w="0" w:type="auto"/>
            <w:vAlign w:val="center"/>
          </w:tcPr>
          <w:p w14:paraId="73E1CD24"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其他各级资本要求（</w:t>
            </w:r>
            <w:r w:rsidRPr="007471A1">
              <w:rPr>
                <w:rFonts w:ascii="仿宋_GB2312" w:eastAsia="仿宋_GB2312" w:hAnsi="仿宋" w:cs="Arial Unicode MS"/>
                <w:color w:val="000000" w:themeColor="text1"/>
                <w:sz w:val="24"/>
              </w:rPr>
              <w:t>%）（8+9+10）</w:t>
            </w:r>
          </w:p>
        </w:tc>
        <w:tc>
          <w:tcPr>
            <w:tcW w:w="0" w:type="auto"/>
            <w:tcBorders>
              <w:right w:val="single" w:sz="4" w:space="0" w:color="auto"/>
            </w:tcBorders>
            <w:vAlign w:val="center"/>
          </w:tcPr>
          <w:p w14:paraId="3887DB6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4EFA06D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68E4636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1CC7553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c>
          <w:tcPr>
            <w:tcW w:w="0" w:type="auto"/>
            <w:tcBorders>
              <w:right w:val="single" w:sz="4" w:space="0" w:color="auto"/>
            </w:tcBorders>
            <w:vAlign w:val="center"/>
          </w:tcPr>
          <w:p w14:paraId="261C17A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2.50%</w:t>
            </w:r>
          </w:p>
        </w:tc>
      </w:tr>
      <w:tr w:rsidR="003B76E8" w:rsidRPr="007471A1" w14:paraId="727E6CE1" w14:textId="77777777">
        <w:trPr>
          <w:trHeight w:val="389"/>
        </w:trPr>
        <w:tc>
          <w:tcPr>
            <w:tcW w:w="0" w:type="auto"/>
            <w:tcBorders>
              <w:left w:val="single" w:sz="4" w:space="0" w:color="auto"/>
            </w:tcBorders>
            <w:vAlign w:val="center"/>
          </w:tcPr>
          <w:p w14:paraId="746BFA5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12</w:t>
            </w:r>
          </w:p>
        </w:tc>
        <w:tc>
          <w:tcPr>
            <w:tcW w:w="0" w:type="auto"/>
            <w:vAlign w:val="center"/>
          </w:tcPr>
          <w:p w14:paraId="6D6EB663"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满足最低资本要求后的可用核心一级资本</w:t>
            </w:r>
            <w:r w:rsidRPr="007471A1">
              <w:rPr>
                <w:rFonts w:ascii="仿宋_GB2312" w:eastAsia="仿宋_GB2312" w:hAnsi="仿宋" w:cs="Arial Unicode MS" w:hint="eastAsia"/>
                <w:color w:val="000000" w:themeColor="text1"/>
                <w:sz w:val="24"/>
              </w:rPr>
              <w:lastRenderedPageBreak/>
              <w:t>净额占风险加权资产的比例（</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4B57E06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lastRenderedPageBreak/>
              <w:t>19.85%</w:t>
            </w:r>
          </w:p>
        </w:tc>
        <w:tc>
          <w:tcPr>
            <w:tcW w:w="0" w:type="auto"/>
            <w:tcBorders>
              <w:right w:val="single" w:sz="4" w:space="0" w:color="auto"/>
            </w:tcBorders>
            <w:vAlign w:val="center"/>
          </w:tcPr>
          <w:p w14:paraId="0548098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29.57%</w:t>
            </w:r>
          </w:p>
        </w:tc>
        <w:tc>
          <w:tcPr>
            <w:tcW w:w="0" w:type="auto"/>
            <w:tcBorders>
              <w:right w:val="single" w:sz="4" w:space="0" w:color="auto"/>
            </w:tcBorders>
            <w:vAlign w:val="center"/>
          </w:tcPr>
          <w:p w14:paraId="37A1AE5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25.55%</w:t>
            </w:r>
          </w:p>
        </w:tc>
        <w:tc>
          <w:tcPr>
            <w:tcW w:w="0" w:type="auto"/>
            <w:tcBorders>
              <w:right w:val="single" w:sz="4" w:space="0" w:color="auto"/>
            </w:tcBorders>
            <w:vAlign w:val="center"/>
          </w:tcPr>
          <w:p w14:paraId="50AB4CCD"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34.42%</w:t>
            </w:r>
          </w:p>
        </w:tc>
        <w:tc>
          <w:tcPr>
            <w:tcW w:w="0" w:type="auto"/>
            <w:tcBorders>
              <w:right w:val="single" w:sz="4" w:space="0" w:color="auto"/>
            </w:tcBorders>
            <w:vAlign w:val="center"/>
          </w:tcPr>
          <w:p w14:paraId="56AE2997"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20.94%</w:t>
            </w:r>
          </w:p>
        </w:tc>
      </w:tr>
      <w:tr w:rsidR="003B76E8" w:rsidRPr="007471A1" w14:paraId="6192E300" w14:textId="77777777">
        <w:trPr>
          <w:trHeight w:val="330"/>
        </w:trPr>
        <w:tc>
          <w:tcPr>
            <w:tcW w:w="0" w:type="auto"/>
            <w:tcBorders>
              <w:left w:val="single" w:sz="4" w:space="0" w:color="auto"/>
            </w:tcBorders>
            <w:vAlign w:val="center"/>
          </w:tcPr>
          <w:p w14:paraId="7723EA9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13</w:t>
            </w:r>
          </w:p>
        </w:tc>
        <w:tc>
          <w:tcPr>
            <w:tcW w:w="0" w:type="auto"/>
            <w:vAlign w:val="center"/>
          </w:tcPr>
          <w:p w14:paraId="37EAE68A"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调整后表内外资产余额</w:t>
            </w:r>
          </w:p>
        </w:tc>
        <w:tc>
          <w:tcPr>
            <w:tcW w:w="0" w:type="auto"/>
            <w:tcBorders>
              <w:right w:val="single" w:sz="4" w:space="0" w:color="auto"/>
            </w:tcBorders>
            <w:vAlign w:val="center"/>
          </w:tcPr>
          <w:p w14:paraId="499B0D9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1750477.291</w:t>
            </w:r>
          </w:p>
        </w:tc>
        <w:tc>
          <w:tcPr>
            <w:tcW w:w="0" w:type="auto"/>
            <w:tcBorders>
              <w:right w:val="single" w:sz="4" w:space="0" w:color="auto"/>
            </w:tcBorders>
            <w:vAlign w:val="center"/>
          </w:tcPr>
          <w:p w14:paraId="5C64D19D"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1337063.438</w:t>
            </w:r>
          </w:p>
        </w:tc>
        <w:tc>
          <w:tcPr>
            <w:tcW w:w="0" w:type="auto"/>
            <w:tcBorders>
              <w:right w:val="single" w:sz="4" w:space="0" w:color="auto"/>
            </w:tcBorders>
            <w:vAlign w:val="center"/>
          </w:tcPr>
          <w:p w14:paraId="22CA4EA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1848712.09</w:t>
            </w:r>
          </w:p>
        </w:tc>
        <w:tc>
          <w:tcPr>
            <w:tcW w:w="0" w:type="auto"/>
            <w:tcBorders>
              <w:right w:val="single" w:sz="4" w:space="0" w:color="auto"/>
            </w:tcBorders>
            <w:vAlign w:val="center"/>
          </w:tcPr>
          <w:p w14:paraId="46371AC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1289726.571</w:t>
            </w:r>
          </w:p>
        </w:tc>
        <w:tc>
          <w:tcPr>
            <w:tcW w:w="0" w:type="auto"/>
            <w:tcBorders>
              <w:right w:val="single" w:sz="4" w:space="0" w:color="auto"/>
            </w:tcBorders>
            <w:vAlign w:val="center"/>
          </w:tcPr>
          <w:p w14:paraId="4B0A34A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1903779.646</w:t>
            </w:r>
          </w:p>
        </w:tc>
      </w:tr>
      <w:tr w:rsidR="003B76E8" w:rsidRPr="007471A1" w14:paraId="6C0961E5" w14:textId="77777777">
        <w:trPr>
          <w:trHeight w:val="330"/>
        </w:trPr>
        <w:tc>
          <w:tcPr>
            <w:tcW w:w="0" w:type="auto"/>
            <w:tcBorders>
              <w:left w:val="single" w:sz="4" w:space="0" w:color="auto"/>
            </w:tcBorders>
            <w:vAlign w:val="center"/>
          </w:tcPr>
          <w:p w14:paraId="5B1B6C4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14</w:t>
            </w:r>
          </w:p>
        </w:tc>
        <w:tc>
          <w:tcPr>
            <w:tcW w:w="0" w:type="auto"/>
            <w:vAlign w:val="center"/>
          </w:tcPr>
          <w:p w14:paraId="46152A72"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_GB2312" w:cs="仿宋_GB2312" w:hint="eastAsia"/>
                <w:color w:val="000000" w:themeColor="text1"/>
                <w:sz w:val="24"/>
              </w:rPr>
              <w:t>杠杆率</w:t>
            </w:r>
            <w:r w:rsidRPr="007471A1">
              <w:rPr>
                <w:rFonts w:ascii="仿宋_GB2312" w:eastAsia="仿宋_GB2312" w:hAnsi="仿宋" w:cs="Arial Unicode MS" w:hint="eastAsia"/>
                <w:color w:val="000000" w:themeColor="text1"/>
                <w:sz w:val="24"/>
              </w:rPr>
              <w:t>（</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350A24A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13.22%</w:t>
            </w:r>
          </w:p>
        </w:tc>
        <w:tc>
          <w:tcPr>
            <w:tcW w:w="0" w:type="auto"/>
            <w:tcBorders>
              <w:right w:val="single" w:sz="4" w:space="0" w:color="auto"/>
            </w:tcBorders>
            <w:vAlign w:val="center"/>
          </w:tcPr>
          <w:p w14:paraId="612D720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17.34%</w:t>
            </w:r>
          </w:p>
        </w:tc>
        <w:tc>
          <w:tcPr>
            <w:tcW w:w="0" w:type="auto"/>
            <w:tcBorders>
              <w:right w:val="single" w:sz="4" w:space="0" w:color="auto"/>
            </w:tcBorders>
            <w:vAlign w:val="center"/>
          </w:tcPr>
          <w:p w14:paraId="277BB84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12.48%</w:t>
            </w:r>
          </w:p>
        </w:tc>
        <w:tc>
          <w:tcPr>
            <w:tcW w:w="0" w:type="auto"/>
            <w:tcBorders>
              <w:right w:val="single" w:sz="4" w:space="0" w:color="auto"/>
            </w:tcBorders>
            <w:vAlign w:val="center"/>
          </w:tcPr>
          <w:p w14:paraId="505957CE"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17.75%</w:t>
            </w:r>
          </w:p>
        </w:tc>
        <w:tc>
          <w:tcPr>
            <w:tcW w:w="0" w:type="auto"/>
            <w:tcBorders>
              <w:right w:val="single" w:sz="4" w:space="0" w:color="auto"/>
            </w:tcBorders>
            <w:vAlign w:val="center"/>
          </w:tcPr>
          <w:p w14:paraId="0E8A55C7"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11.83%</w:t>
            </w:r>
          </w:p>
        </w:tc>
      </w:tr>
      <w:tr w:rsidR="003B76E8" w:rsidRPr="007471A1" w14:paraId="2FA6059E" w14:textId="77777777">
        <w:trPr>
          <w:trHeight w:val="330"/>
        </w:trPr>
        <w:tc>
          <w:tcPr>
            <w:tcW w:w="0" w:type="auto"/>
            <w:tcBorders>
              <w:left w:val="single" w:sz="4" w:space="0" w:color="auto"/>
            </w:tcBorders>
            <w:vAlign w:val="center"/>
          </w:tcPr>
          <w:p w14:paraId="3EFD8DA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w:t>
            </w:r>
            <w:r w:rsidRPr="007471A1">
              <w:rPr>
                <w:rFonts w:ascii="仿宋_GB2312" w:eastAsia="仿宋_GB2312" w:hAnsi="仿宋" w:cs="Arial Unicode MS"/>
                <w:color w:val="000000" w:themeColor="text1"/>
                <w:sz w:val="24"/>
              </w:rPr>
              <w:t>4</w:t>
            </w:r>
            <w:r w:rsidRPr="007471A1">
              <w:rPr>
                <w:rFonts w:ascii="仿宋_GB2312" w:eastAsia="仿宋_GB2312" w:hAnsi="仿宋" w:cs="Arial Unicode MS" w:hint="eastAsia"/>
                <w:color w:val="000000" w:themeColor="text1"/>
                <w:sz w:val="24"/>
              </w:rPr>
              <w:t>a</w:t>
            </w:r>
          </w:p>
        </w:tc>
        <w:tc>
          <w:tcPr>
            <w:tcW w:w="0" w:type="auto"/>
            <w:vAlign w:val="center"/>
          </w:tcPr>
          <w:p w14:paraId="202FCBBC"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_GB2312" w:cs="仿宋_GB2312" w:hint="eastAsia"/>
                <w:color w:val="000000" w:themeColor="text1"/>
                <w:sz w:val="24"/>
              </w:rPr>
              <w:t>杠杆率a</w:t>
            </w:r>
            <w:r w:rsidRPr="007471A1">
              <w:rPr>
                <w:rFonts w:ascii="仿宋_GB2312" w:eastAsia="仿宋_GB2312" w:hAnsi="仿宋" w:cs="Arial Unicode MS" w:hint="eastAsia"/>
                <w:color w:val="000000" w:themeColor="text1"/>
                <w:sz w:val="24"/>
              </w:rPr>
              <w:t>（</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64A7A82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13.22%</w:t>
            </w:r>
          </w:p>
        </w:tc>
        <w:tc>
          <w:tcPr>
            <w:tcW w:w="0" w:type="auto"/>
            <w:tcBorders>
              <w:right w:val="single" w:sz="4" w:space="0" w:color="auto"/>
            </w:tcBorders>
            <w:vAlign w:val="center"/>
          </w:tcPr>
          <w:p w14:paraId="0EEA337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17.34%</w:t>
            </w:r>
          </w:p>
        </w:tc>
        <w:tc>
          <w:tcPr>
            <w:tcW w:w="0" w:type="auto"/>
            <w:tcBorders>
              <w:right w:val="single" w:sz="4" w:space="0" w:color="auto"/>
            </w:tcBorders>
            <w:vAlign w:val="center"/>
          </w:tcPr>
          <w:p w14:paraId="49C418A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12.48%</w:t>
            </w:r>
          </w:p>
        </w:tc>
        <w:tc>
          <w:tcPr>
            <w:tcW w:w="0" w:type="auto"/>
            <w:tcBorders>
              <w:right w:val="single" w:sz="4" w:space="0" w:color="auto"/>
            </w:tcBorders>
            <w:vAlign w:val="center"/>
          </w:tcPr>
          <w:p w14:paraId="02F32ED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17.75%</w:t>
            </w:r>
          </w:p>
        </w:tc>
        <w:tc>
          <w:tcPr>
            <w:tcW w:w="0" w:type="auto"/>
            <w:tcBorders>
              <w:right w:val="single" w:sz="4" w:space="0" w:color="auto"/>
            </w:tcBorders>
            <w:vAlign w:val="center"/>
          </w:tcPr>
          <w:p w14:paraId="4657C17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11.83%</w:t>
            </w:r>
          </w:p>
        </w:tc>
      </w:tr>
      <w:tr w:rsidR="003B76E8" w:rsidRPr="007471A1" w14:paraId="0AD7B05B" w14:textId="77777777">
        <w:trPr>
          <w:trHeight w:val="330"/>
        </w:trPr>
        <w:tc>
          <w:tcPr>
            <w:tcW w:w="0" w:type="auto"/>
            <w:tcBorders>
              <w:left w:val="single" w:sz="4" w:space="0" w:color="auto"/>
            </w:tcBorders>
            <w:vAlign w:val="center"/>
          </w:tcPr>
          <w:p w14:paraId="0F3253E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15</w:t>
            </w:r>
          </w:p>
        </w:tc>
        <w:tc>
          <w:tcPr>
            <w:tcW w:w="0" w:type="auto"/>
            <w:vAlign w:val="center"/>
          </w:tcPr>
          <w:p w14:paraId="18C93556"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合格优质流动性资产</w:t>
            </w:r>
          </w:p>
        </w:tc>
        <w:tc>
          <w:tcPr>
            <w:tcW w:w="0" w:type="auto"/>
            <w:tcBorders>
              <w:right w:val="single" w:sz="4" w:space="0" w:color="auto"/>
            </w:tcBorders>
            <w:vAlign w:val="center"/>
          </w:tcPr>
          <w:p w14:paraId="7A0FE01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4E15710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279E184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771508A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7CF9810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368D0155" w14:textId="77777777">
        <w:trPr>
          <w:trHeight w:val="330"/>
        </w:trPr>
        <w:tc>
          <w:tcPr>
            <w:tcW w:w="0" w:type="auto"/>
            <w:tcBorders>
              <w:left w:val="single" w:sz="4" w:space="0" w:color="auto"/>
            </w:tcBorders>
            <w:vAlign w:val="center"/>
          </w:tcPr>
          <w:p w14:paraId="0F95393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16</w:t>
            </w:r>
          </w:p>
        </w:tc>
        <w:tc>
          <w:tcPr>
            <w:tcW w:w="0" w:type="auto"/>
            <w:vAlign w:val="center"/>
          </w:tcPr>
          <w:p w14:paraId="6AC01E76"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现金净流出量</w:t>
            </w:r>
          </w:p>
        </w:tc>
        <w:tc>
          <w:tcPr>
            <w:tcW w:w="0" w:type="auto"/>
            <w:tcBorders>
              <w:right w:val="single" w:sz="4" w:space="0" w:color="auto"/>
            </w:tcBorders>
            <w:vAlign w:val="center"/>
          </w:tcPr>
          <w:p w14:paraId="675D72E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070DE03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3A5E43DD"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4D5E587D"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3775A02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4258EA47" w14:textId="77777777">
        <w:trPr>
          <w:trHeight w:val="330"/>
        </w:trPr>
        <w:tc>
          <w:tcPr>
            <w:tcW w:w="0" w:type="auto"/>
            <w:tcBorders>
              <w:left w:val="single" w:sz="4" w:space="0" w:color="auto"/>
            </w:tcBorders>
            <w:vAlign w:val="center"/>
          </w:tcPr>
          <w:p w14:paraId="5A78F09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17</w:t>
            </w:r>
          </w:p>
        </w:tc>
        <w:tc>
          <w:tcPr>
            <w:tcW w:w="0" w:type="auto"/>
            <w:vAlign w:val="center"/>
          </w:tcPr>
          <w:p w14:paraId="6CB1F0F2"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流动性覆盖率（</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017560F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0F1495C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23C1DA4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5EE031A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59DE5B1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64B48D9D" w14:textId="77777777">
        <w:trPr>
          <w:trHeight w:val="330"/>
        </w:trPr>
        <w:tc>
          <w:tcPr>
            <w:tcW w:w="0" w:type="auto"/>
            <w:tcBorders>
              <w:left w:val="single" w:sz="4" w:space="0" w:color="auto"/>
            </w:tcBorders>
            <w:vAlign w:val="center"/>
          </w:tcPr>
          <w:p w14:paraId="682081BA"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18</w:t>
            </w:r>
          </w:p>
        </w:tc>
        <w:tc>
          <w:tcPr>
            <w:tcW w:w="0" w:type="auto"/>
            <w:vAlign w:val="center"/>
          </w:tcPr>
          <w:p w14:paraId="421DB7E7"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可用稳定资金合计</w:t>
            </w:r>
          </w:p>
        </w:tc>
        <w:tc>
          <w:tcPr>
            <w:tcW w:w="0" w:type="auto"/>
            <w:tcBorders>
              <w:right w:val="single" w:sz="4" w:space="0" w:color="auto"/>
            </w:tcBorders>
            <w:vAlign w:val="center"/>
          </w:tcPr>
          <w:p w14:paraId="0924F20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69650F71"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650E3E4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6E78675C"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1C22236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44DB5188" w14:textId="77777777">
        <w:trPr>
          <w:trHeight w:val="330"/>
        </w:trPr>
        <w:tc>
          <w:tcPr>
            <w:tcW w:w="0" w:type="auto"/>
            <w:tcBorders>
              <w:left w:val="single" w:sz="4" w:space="0" w:color="auto"/>
            </w:tcBorders>
            <w:vAlign w:val="center"/>
          </w:tcPr>
          <w:p w14:paraId="7DA9BB8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19</w:t>
            </w:r>
          </w:p>
        </w:tc>
        <w:tc>
          <w:tcPr>
            <w:tcW w:w="0" w:type="auto"/>
            <w:vAlign w:val="center"/>
          </w:tcPr>
          <w:p w14:paraId="738B9DFA"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所需稳定资金合计</w:t>
            </w:r>
          </w:p>
        </w:tc>
        <w:tc>
          <w:tcPr>
            <w:tcW w:w="0" w:type="auto"/>
            <w:tcBorders>
              <w:right w:val="single" w:sz="4" w:space="0" w:color="auto"/>
            </w:tcBorders>
            <w:vAlign w:val="center"/>
          </w:tcPr>
          <w:p w14:paraId="4E3876BB"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672FC7F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2F17150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238DFC78"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191B3C0C"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4913C9D5" w14:textId="77777777">
        <w:trPr>
          <w:trHeight w:val="330"/>
        </w:trPr>
        <w:tc>
          <w:tcPr>
            <w:tcW w:w="0" w:type="auto"/>
            <w:tcBorders>
              <w:left w:val="single" w:sz="4" w:space="0" w:color="auto"/>
            </w:tcBorders>
            <w:vAlign w:val="center"/>
          </w:tcPr>
          <w:p w14:paraId="2CD39896"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20</w:t>
            </w:r>
          </w:p>
        </w:tc>
        <w:tc>
          <w:tcPr>
            <w:tcW w:w="0" w:type="auto"/>
            <w:vAlign w:val="center"/>
          </w:tcPr>
          <w:p w14:paraId="4C918596"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净稳定资金比例（</w:t>
            </w:r>
            <w:r w:rsidRPr="007471A1">
              <w:rPr>
                <w:rFonts w:ascii="仿宋_GB2312" w:eastAsia="仿宋_GB2312" w:hAnsi="仿宋" w:cs="Arial Unicode MS"/>
                <w:color w:val="000000" w:themeColor="text1"/>
                <w:sz w:val="24"/>
              </w:rPr>
              <w:t>%）</w:t>
            </w:r>
          </w:p>
        </w:tc>
        <w:tc>
          <w:tcPr>
            <w:tcW w:w="0" w:type="auto"/>
            <w:tcBorders>
              <w:right w:val="single" w:sz="4" w:space="0" w:color="auto"/>
            </w:tcBorders>
            <w:vAlign w:val="center"/>
          </w:tcPr>
          <w:p w14:paraId="05BEB63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0060427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07E22F04"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0B325BE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c>
          <w:tcPr>
            <w:tcW w:w="0" w:type="auto"/>
            <w:tcBorders>
              <w:right w:val="single" w:sz="4" w:space="0" w:color="auto"/>
            </w:tcBorders>
            <w:vAlign w:val="center"/>
          </w:tcPr>
          <w:p w14:paraId="25FBD47F"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不适用</w:t>
            </w:r>
          </w:p>
        </w:tc>
      </w:tr>
      <w:tr w:rsidR="003B76E8" w:rsidRPr="007471A1" w14:paraId="01969E89" w14:textId="77777777">
        <w:trPr>
          <w:trHeight w:val="330"/>
        </w:trPr>
        <w:tc>
          <w:tcPr>
            <w:tcW w:w="0" w:type="auto"/>
            <w:tcBorders>
              <w:left w:val="single" w:sz="4" w:space="0" w:color="auto"/>
            </w:tcBorders>
            <w:shd w:val="clear" w:color="auto" w:fill="FFFFFF"/>
            <w:vAlign w:val="center"/>
          </w:tcPr>
          <w:p w14:paraId="1732BE15"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color w:val="000000" w:themeColor="text1"/>
                <w:sz w:val="24"/>
              </w:rPr>
              <w:t>21</w:t>
            </w:r>
          </w:p>
        </w:tc>
        <w:tc>
          <w:tcPr>
            <w:tcW w:w="0" w:type="auto"/>
            <w:shd w:val="clear" w:color="auto" w:fill="FFFFFF"/>
            <w:vAlign w:val="center"/>
          </w:tcPr>
          <w:p w14:paraId="10B2ECF8" w14:textId="77777777" w:rsidR="003B76E8" w:rsidRPr="007471A1" w:rsidRDefault="00000000">
            <w:pPr>
              <w:snapToGrid w:val="0"/>
              <w:spacing w:line="480" w:lineRule="exact"/>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流动性比例（</w:t>
            </w:r>
            <w:r w:rsidRPr="007471A1">
              <w:rPr>
                <w:rFonts w:ascii="仿宋_GB2312" w:eastAsia="仿宋_GB2312" w:hAnsi="仿宋" w:cs="Arial Unicode MS"/>
                <w:color w:val="000000" w:themeColor="text1"/>
                <w:sz w:val="24"/>
              </w:rPr>
              <w:t>%）</w:t>
            </w:r>
          </w:p>
        </w:tc>
        <w:tc>
          <w:tcPr>
            <w:tcW w:w="0" w:type="auto"/>
            <w:tcBorders>
              <w:right w:val="single" w:sz="4" w:space="0" w:color="auto"/>
            </w:tcBorders>
            <w:shd w:val="clear" w:color="auto" w:fill="FFFFFF"/>
            <w:vAlign w:val="center"/>
          </w:tcPr>
          <w:p w14:paraId="3B39A88E" w14:textId="77777777" w:rsidR="003B76E8" w:rsidRPr="007471A1" w:rsidRDefault="00000000">
            <w:pPr>
              <w:widowControl/>
              <w:jc w:val="center"/>
              <w:textAlignment w:val="center"/>
              <w:rPr>
                <w:rFonts w:ascii="宋体" w:eastAsia="宋体" w:hAnsi="宋体" w:cs="宋体" w:hint="eastAsia"/>
                <w:color w:val="000000"/>
                <w:sz w:val="24"/>
              </w:rPr>
            </w:pPr>
            <w:r w:rsidRPr="007471A1">
              <w:rPr>
                <w:rFonts w:ascii="仿宋_GB2312" w:eastAsia="仿宋_GB2312" w:hAnsi="仿宋" w:cs="Arial Unicode MS" w:hint="eastAsia"/>
                <w:color w:val="000000" w:themeColor="text1"/>
                <w:sz w:val="24"/>
              </w:rPr>
              <w:t>60.26%</w:t>
            </w:r>
          </w:p>
        </w:tc>
        <w:tc>
          <w:tcPr>
            <w:tcW w:w="0" w:type="auto"/>
            <w:tcBorders>
              <w:right w:val="single" w:sz="4" w:space="0" w:color="auto"/>
            </w:tcBorders>
            <w:shd w:val="clear" w:color="auto" w:fill="FFFFFF"/>
            <w:vAlign w:val="center"/>
          </w:tcPr>
          <w:p w14:paraId="2E042DD9"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61.01%</w:t>
            </w:r>
          </w:p>
        </w:tc>
        <w:tc>
          <w:tcPr>
            <w:tcW w:w="0" w:type="auto"/>
            <w:tcBorders>
              <w:right w:val="single" w:sz="4" w:space="0" w:color="auto"/>
            </w:tcBorders>
            <w:shd w:val="clear" w:color="auto" w:fill="FFFFFF"/>
            <w:vAlign w:val="center"/>
          </w:tcPr>
          <w:p w14:paraId="715FA4A3"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81.42%</w:t>
            </w:r>
          </w:p>
        </w:tc>
        <w:tc>
          <w:tcPr>
            <w:tcW w:w="0" w:type="auto"/>
            <w:tcBorders>
              <w:right w:val="single" w:sz="4" w:space="0" w:color="auto"/>
            </w:tcBorders>
            <w:shd w:val="clear" w:color="auto" w:fill="FFFFFF"/>
            <w:vAlign w:val="center"/>
          </w:tcPr>
          <w:p w14:paraId="7D3BF400"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73.80%</w:t>
            </w:r>
          </w:p>
        </w:tc>
        <w:tc>
          <w:tcPr>
            <w:tcW w:w="0" w:type="auto"/>
            <w:tcBorders>
              <w:right w:val="single" w:sz="4" w:space="0" w:color="auto"/>
            </w:tcBorders>
            <w:shd w:val="clear" w:color="auto" w:fill="FFFFFF"/>
            <w:vAlign w:val="center"/>
          </w:tcPr>
          <w:p w14:paraId="000CAEB2" w14:textId="77777777" w:rsidR="003B76E8" w:rsidRPr="007471A1" w:rsidRDefault="00000000">
            <w:pPr>
              <w:snapToGrid w:val="0"/>
              <w:spacing w:line="480" w:lineRule="exact"/>
              <w:jc w:val="center"/>
              <w:rPr>
                <w:rFonts w:ascii="仿宋_GB2312" w:eastAsia="仿宋_GB2312" w:hAnsi="仿宋" w:cs="Arial Unicode MS" w:hint="eastAsia"/>
                <w:color w:val="000000" w:themeColor="text1"/>
                <w:sz w:val="24"/>
              </w:rPr>
            </w:pPr>
            <w:r w:rsidRPr="007471A1">
              <w:rPr>
                <w:rFonts w:ascii="仿宋_GB2312" w:eastAsia="仿宋_GB2312" w:hAnsi="仿宋" w:cs="Arial Unicode MS" w:hint="eastAsia"/>
                <w:color w:val="000000" w:themeColor="text1"/>
                <w:sz w:val="24"/>
              </w:rPr>
              <w:t>77.59%</w:t>
            </w:r>
          </w:p>
        </w:tc>
      </w:tr>
    </w:tbl>
    <w:p w14:paraId="3993648D" w14:textId="77777777" w:rsidR="003B76E8" w:rsidRDefault="003B76E8">
      <w:pPr>
        <w:numPr>
          <w:ilvl w:val="0"/>
          <w:numId w:val="1"/>
        </w:numPr>
        <w:spacing w:line="580" w:lineRule="exact"/>
        <w:ind w:firstLineChars="200" w:firstLine="640"/>
        <w:rPr>
          <w:rFonts w:ascii="仿宋_GB2312" w:eastAsia="仿宋_GB2312" w:hAnsi="仿宋_GB2312" w:cs="仿宋_GB2312" w:hint="eastAsia"/>
          <w:sz w:val="32"/>
          <w:szCs w:val="32"/>
        </w:rPr>
        <w:sectPr w:rsidR="003B76E8">
          <w:pgSz w:w="16838" w:h="11906" w:orient="landscape"/>
          <w:pgMar w:top="1800" w:right="1440" w:bottom="1800" w:left="1440" w:header="851" w:footer="992" w:gutter="0"/>
          <w:cols w:space="425"/>
          <w:docGrid w:type="lines" w:linePitch="312"/>
        </w:sectPr>
      </w:pPr>
    </w:p>
    <w:p w14:paraId="14552CD1" w14:textId="265B927D" w:rsidR="007471A1" w:rsidRDefault="007471A1" w:rsidP="007471A1">
      <w:pPr>
        <w:spacing w:line="580" w:lineRule="exact"/>
        <w:ind w:left="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注：</w:t>
      </w:r>
    </w:p>
    <w:p w14:paraId="668535F1" w14:textId="355C05E9" w:rsidR="003B76E8" w:rsidRDefault="007471A1" w:rsidP="007471A1">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1、根据《商业银行流动性风险管理办法》，《KMI监管并表关键审慎监管指标》中15-20项内容涉及的流动性覆盖率、净稳定资金比例为资产规模不小于2000亿元人民币的商业银行应达到的监管指标，本公司不适用。</w:t>
      </w:r>
    </w:p>
    <w:p w14:paraId="1F733DDD" w14:textId="77777777" w:rsidR="003B76E8"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2024年</w:t>
      </w:r>
      <w:r>
        <w:rPr>
          <w:rFonts w:ascii="仿宋_GB2312" w:eastAsia="仿宋_GB2312" w:hAnsi="仿宋_GB2312" w:cs="仿宋_GB2312" w:hint="eastAsia"/>
          <w:sz w:val="32"/>
          <w:szCs w:val="32"/>
        </w:rPr>
        <w:t>四</w:t>
      </w:r>
      <w:r>
        <w:rPr>
          <w:rFonts w:ascii="仿宋_GB2312" w:eastAsia="仿宋_GB2312" w:hAnsi="仿宋_GB2312" w:cs="仿宋_GB2312"/>
          <w:sz w:val="32"/>
          <w:szCs w:val="32"/>
        </w:rPr>
        <w:t>季度资本充足率、杠杆率较</w:t>
      </w:r>
      <w:r>
        <w:rPr>
          <w:rFonts w:ascii="仿宋_GB2312" w:eastAsia="仿宋_GB2312" w:hAnsi="仿宋_GB2312" w:cs="仿宋_GB2312" w:hint="eastAsia"/>
          <w:sz w:val="32"/>
          <w:szCs w:val="32"/>
        </w:rPr>
        <w:t>上一季度下降</w:t>
      </w:r>
      <w:r>
        <w:rPr>
          <w:rFonts w:ascii="仿宋_GB2312" w:eastAsia="仿宋_GB2312" w:hAnsi="仿宋_GB2312" w:cs="仿宋_GB2312"/>
          <w:sz w:val="32"/>
          <w:szCs w:val="32"/>
        </w:rPr>
        <w:t>主要因公司贷款和存放同业规模</w:t>
      </w:r>
      <w:r>
        <w:rPr>
          <w:rFonts w:ascii="仿宋_GB2312" w:eastAsia="仿宋_GB2312" w:hAnsi="仿宋_GB2312" w:cs="仿宋_GB2312" w:hint="eastAsia"/>
          <w:sz w:val="32"/>
          <w:szCs w:val="32"/>
        </w:rPr>
        <w:t>上升</w:t>
      </w:r>
      <w:r>
        <w:rPr>
          <w:rFonts w:ascii="仿宋_GB2312" w:eastAsia="仿宋_GB2312" w:hAnsi="仿宋_GB2312" w:cs="仿宋_GB2312"/>
          <w:sz w:val="32"/>
          <w:szCs w:val="32"/>
        </w:rPr>
        <w:t>所致</w:t>
      </w:r>
      <w:r>
        <w:rPr>
          <w:rFonts w:ascii="仿宋_GB2312" w:eastAsia="仿宋_GB2312" w:hAnsi="仿宋_GB2312" w:cs="仿宋_GB2312" w:hint="eastAsia"/>
          <w:sz w:val="32"/>
          <w:szCs w:val="32"/>
        </w:rPr>
        <w:t>。</w:t>
      </w:r>
    </w:p>
    <w:p w14:paraId="2318FC90" w14:textId="77777777" w:rsidR="003B76E8" w:rsidRDefault="00000000">
      <w:pPr>
        <w:spacing w:line="58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CC1资本构成</w:t>
      </w:r>
    </w:p>
    <w:p w14:paraId="109DD969" w14:textId="77777777" w:rsidR="003B76E8" w:rsidRDefault="00000000">
      <w:pPr>
        <w:spacing w:line="580" w:lineRule="exact"/>
        <w:ind w:firstLineChars="200" w:firstLine="640"/>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单位：人民币万元</w:t>
      </w:r>
    </w:p>
    <w:tbl>
      <w:tblPr>
        <w:tblW w:w="4999"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17"/>
        <w:gridCol w:w="5787"/>
        <w:gridCol w:w="2116"/>
      </w:tblGrid>
      <w:tr w:rsidR="003B76E8" w:rsidRPr="007471A1" w14:paraId="7591ADC0" w14:textId="77777777">
        <w:trPr>
          <w:trHeight w:val="405"/>
        </w:trPr>
        <w:tc>
          <w:tcPr>
            <w:tcW w:w="3757" w:type="pct"/>
            <w:gridSpan w:val="2"/>
            <w:tcBorders>
              <w:top w:val="single" w:sz="4" w:space="0" w:color="auto"/>
              <w:bottom w:val="single" w:sz="4" w:space="0" w:color="auto"/>
              <w:right w:val="single" w:sz="4" w:space="0" w:color="auto"/>
            </w:tcBorders>
            <w:shd w:val="clear" w:color="auto" w:fill="auto"/>
            <w:vAlign w:val="center"/>
          </w:tcPr>
          <w:p w14:paraId="12AA545C" w14:textId="77777777" w:rsidR="003B76E8" w:rsidRPr="007471A1" w:rsidRDefault="003B76E8" w:rsidP="007471A1">
            <w:pPr>
              <w:rPr>
                <w:rFonts w:ascii="仿宋_GB2312" w:eastAsia="仿宋_GB2312" w:hAnsi="宋体" w:cs="仿宋_GB2312" w:hint="eastAsia"/>
                <w:color w:val="000000"/>
                <w:sz w:val="24"/>
              </w:rPr>
            </w:pP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B72FE4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sz w:val="24"/>
              </w:rPr>
              <w:t>2024年12月31日</w:t>
            </w:r>
          </w:p>
        </w:tc>
      </w:tr>
      <w:tr w:rsidR="003B76E8" w:rsidRPr="007471A1" w14:paraId="165CE260" w14:textId="77777777">
        <w:trPr>
          <w:trHeight w:val="390"/>
        </w:trPr>
        <w:tc>
          <w:tcPr>
            <w:tcW w:w="3757" w:type="pct"/>
            <w:gridSpan w:val="2"/>
            <w:tcBorders>
              <w:top w:val="single" w:sz="4" w:space="0" w:color="auto"/>
              <w:bottom w:val="single" w:sz="4" w:space="0" w:color="auto"/>
              <w:right w:val="single" w:sz="4" w:space="0" w:color="auto"/>
            </w:tcBorders>
            <w:shd w:val="clear" w:color="auto" w:fill="auto"/>
            <w:vAlign w:val="center"/>
          </w:tcPr>
          <w:p w14:paraId="70C39549" w14:textId="77777777" w:rsidR="003B76E8" w:rsidRPr="007471A1" w:rsidRDefault="003B76E8" w:rsidP="007471A1">
            <w:pPr>
              <w:rPr>
                <w:rFonts w:ascii="仿宋_GB2312" w:eastAsia="仿宋_GB2312" w:hAnsi="宋体" w:cs="仿宋_GB2312" w:hint="eastAsia"/>
                <w:color w:val="000000"/>
                <w:sz w:val="24"/>
              </w:rPr>
            </w:pP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A42F926" w14:textId="77777777" w:rsidR="003B76E8" w:rsidRPr="007471A1" w:rsidRDefault="00000000" w:rsidP="007471A1">
            <w:pPr>
              <w:widowControl/>
              <w:jc w:val="center"/>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数额</w:t>
            </w:r>
          </w:p>
        </w:tc>
      </w:tr>
      <w:tr w:rsidR="003B76E8" w:rsidRPr="007471A1" w14:paraId="36D05755"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4653FD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B4FC39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实收资本和资本公积可计入部分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E0F94E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150014.31</w:t>
            </w:r>
          </w:p>
        </w:tc>
      </w:tr>
      <w:tr w:rsidR="003B76E8" w:rsidRPr="007471A1" w14:paraId="3C27CDD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71B323A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06AC9D5"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留存收益</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BCDAB0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30A9DDD7"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5E0FA3D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2a</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90CD68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盈余公积</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C8EE31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8265.76</w:t>
            </w:r>
          </w:p>
        </w:tc>
      </w:tr>
      <w:tr w:rsidR="003B76E8" w:rsidRPr="007471A1" w14:paraId="7E579C05"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7FB052B3"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2b</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A6195D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一般风险准备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CBD1EE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20398.74</w:t>
            </w:r>
          </w:p>
        </w:tc>
      </w:tr>
      <w:tr w:rsidR="003B76E8" w:rsidRPr="007471A1" w14:paraId="2E9B2504"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20961D5"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2c</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CFADF27"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未分配利润</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F4FAC8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53993.10</w:t>
            </w:r>
          </w:p>
        </w:tc>
      </w:tr>
      <w:tr w:rsidR="003B76E8" w:rsidRPr="007471A1" w14:paraId="4A2EBDB6"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10E7E019"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A8CEA2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累计其他综合收益</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B0000E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980F89C"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E30C043"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F4CBFAE"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少数股东资本可计入部分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E623B1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7266F3D"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33CE2EB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7E23B15"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扣除前的核心一级资本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D0154FF"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232671.91</w:t>
            </w:r>
          </w:p>
        </w:tc>
      </w:tr>
      <w:tr w:rsidR="003B76E8" w:rsidRPr="007471A1" w14:paraId="5A8E7DE9"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68863E4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10F9F02"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审慎估值调整</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F53BD35"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B40E2A8"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278128E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10B679C"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商誉（扣除递延税负债）</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D9293E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BD5F845"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5344036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3442F81"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其他无形资产（土地使用权除外）（扣除递延税负债）</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9DF6FF0"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1244.92</w:t>
            </w:r>
          </w:p>
        </w:tc>
      </w:tr>
      <w:tr w:rsidR="003B76E8" w:rsidRPr="007471A1" w14:paraId="201B39EC"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AA23DB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D27713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依赖未来盈利的由经营亏损引起的净递延税资产</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D2F715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CEC6B2B"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F89D233"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551C29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对未按公允价值计量的项目进行套期形成的现金流储备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CA339C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5D504E7"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4D855B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A5C57EB"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损失准备缺口</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3A5AC6F"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41AD3B8"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2829DEF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95AB943"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资产证券化销售利得</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88226E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4A8E09E"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6438F9F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8DAFE9A"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自身信用风险变化导致其负债公允价值变化带来的未实现损益</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46653C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972C9E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3DBDF9BF"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C22E0E4"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确定受益类的养老金资产净额（扣除递延税负债）</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11A4FC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547FD06A"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3B76EA5"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F1C625D"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直接或间接持有本银行的股票</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EF6935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59207BBC"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66B61E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lastRenderedPageBreak/>
              <w:t>16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0989EC3"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银行间或银行与其他金融机构间通过协议相互持有的核心一级资本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A0F544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C6F7190"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E37BCA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B4C4474"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对未并表金融机构小额少数资本投资中的核心一级资本中应扣除金额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7EAF96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40D2267"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7A64662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8B07D0C"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对未并表金融机构大额少数资本投资中的核心一级资本中应扣除金额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5BA3843"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3845F1A"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36EDAEDF"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75A78C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其他依赖于银行未来盈利的净递延税资产中应扣除金额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4D7527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4C772336" w14:textId="77777777">
        <w:trPr>
          <w:trHeight w:val="765"/>
        </w:trPr>
        <w:tc>
          <w:tcPr>
            <w:tcW w:w="362" w:type="pct"/>
            <w:tcBorders>
              <w:top w:val="single" w:sz="4" w:space="0" w:color="auto"/>
              <w:bottom w:val="single" w:sz="4" w:space="0" w:color="auto"/>
              <w:right w:val="single" w:sz="4" w:space="0" w:color="auto"/>
            </w:tcBorders>
            <w:shd w:val="clear" w:color="auto" w:fill="auto"/>
          </w:tcPr>
          <w:p w14:paraId="58412C2E"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748C257"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对未并表金融机构大额少数资本投资中的核心一级资本和其他依赖于银行未来盈利的净递延税资产的未扣除部分超过核心一级资本15%的应扣除金额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D54777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12EE015"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118E9D7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73AD53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其中：应在对金融机构大额少数资本投资中扣除的金额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71163D0"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E1FCE4F"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4E573DF9"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3F16A14"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其中：应在其他依赖于银行未来盈利的净递延税资产中扣除的金额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F7F34F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13219C6"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153A79BA"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F5CA3EA"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其他应在核心一级资本中扣除的项目合计</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00955E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00AF99C"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1A138F0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B61FD8A"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应从其他一级资本和二级资本中扣除的未扣缺口</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94891B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2C7379A"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016D7AB"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75CC105"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核心一级资本扣除项总和</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C65A71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1244.92</w:t>
            </w:r>
          </w:p>
        </w:tc>
      </w:tr>
      <w:tr w:rsidR="003B76E8" w:rsidRPr="007471A1" w14:paraId="3B5BB27A"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0FACF5AD"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959A272"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核心一级资本净额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EB9DCE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231426.99</w:t>
            </w:r>
          </w:p>
        </w:tc>
      </w:tr>
      <w:tr w:rsidR="003B76E8" w:rsidRPr="007471A1" w14:paraId="0CEAA33E"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47DACD35"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FFF50C2"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其他一级资本工具及其溢价</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0C9E88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AD7A91A"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2085427D"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3547B65"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其中：权益部分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B0E9E3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73E1C90"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0E7F021F"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981112A"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其中：负债部分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77C510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824A975"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54DAAD08"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42CFB3F"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少数股东资本可计入部分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CAF9CF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B5F1439"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6185DA86"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71D2B88"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扣除前的其他一级资本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51BECF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46105D4"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0997D40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0AD099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直接或间接持有的本银行其他一级资本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956074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CFF9C51"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9297F36"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8023BB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银行间或银行与其他金融机构间通过协议相互持有的其他一级资本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8B9DA7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84EAB83"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651C9E06"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5E73AC7"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对未并表金融机构小额少数资本投资中的其他一级资本中应扣除金额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2C69BA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76A00347"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D16A9DC"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97F651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对未并表金融机构大额少数资本投资中的其他一级资本中应扣除金额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75518A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3D43D7D"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3AAAC9B"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5ACB336"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其他应在其他一级资本中扣除的项目合计</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D64170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5ECCBD1B"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0047A514"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7949A6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应从二级资本中扣除的未扣缺口</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AF331D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579CD915"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6F7F9C2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D95B0B4"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其他一级资本扣除项总和</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2A88FA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D3E36FF"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3740D06C"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39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C889840"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其他一级资本净额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F45A100"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2842968"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76D09EBD"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C66AB27"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一级资本净额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9C0BFA0"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231426.99</w:t>
            </w:r>
          </w:p>
        </w:tc>
      </w:tr>
      <w:tr w:rsidR="003B76E8" w:rsidRPr="007471A1" w14:paraId="367CC1DC"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23352AD0"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9B8319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二级资本工具及其溢价</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A53A8B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F676082"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6B25EA0A"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89068A9"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少数股东资本可计入部分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70BEBF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44C5A527"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2BEE1A8B"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87D0CA0"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超额损失准备可计入部分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05A56E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9978.26</w:t>
            </w:r>
          </w:p>
        </w:tc>
      </w:tr>
      <w:tr w:rsidR="003B76E8" w:rsidRPr="007471A1" w14:paraId="6CADA805"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6D5DA7F3"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lastRenderedPageBreak/>
              <w:t>44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D010CDD"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扣除前的二级资本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C57503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9978.26</w:t>
            </w:r>
          </w:p>
        </w:tc>
      </w:tr>
      <w:tr w:rsidR="003B76E8" w:rsidRPr="007471A1" w14:paraId="59D5C9CA"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5D13B7D5"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880557F"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直接或间接持有的本银行的二级资本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E5CD149"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0CA6D974"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79AB364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84E3136"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银行间或银行与其他金融机构间通过协议相互持有的其他一级资本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AC2C25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54CFCA88"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77F0FA0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2B5A66D"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对未并表金融机构小额少数资本投资中的二级资本中应扣除金额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DBE9E6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3582BE6"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2999993"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9A571E6"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对未并表金融机构大额少数资本投资中的二级资本</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B0F41B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13DCBB8C"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3898CF20"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49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94EDDC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其他应在二级资本中扣除的项目合计</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19F35B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0FB26D5"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613AC53"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BC6A40D"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二级资本扣除项总和</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E904D8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4C58B815"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E0D9DB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B680AEA"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二级资本净额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1776489"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9978.26</w:t>
            </w:r>
          </w:p>
        </w:tc>
      </w:tr>
      <w:tr w:rsidR="003B76E8" w:rsidRPr="007471A1" w14:paraId="220E313B"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29ACF1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806F6C1"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总资本净额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E34FE5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241405.25</w:t>
            </w:r>
          </w:p>
        </w:tc>
      </w:tr>
      <w:tr w:rsidR="003B76E8" w:rsidRPr="007471A1" w14:paraId="58BDF05C"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58362AA"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C6CD4C1"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风险加权资产</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62AF32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830856.47</w:t>
            </w:r>
          </w:p>
        </w:tc>
      </w:tr>
      <w:tr w:rsidR="003B76E8" w:rsidRPr="007471A1" w14:paraId="4891FC0A"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9BADC2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09D939F"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核心一级资本充足率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8351C79"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27.85%</w:t>
            </w:r>
          </w:p>
        </w:tc>
      </w:tr>
      <w:tr w:rsidR="003B76E8" w:rsidRPr="007471A1" w14:paraId="0E3E90C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237EDA4F"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489D7E6"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一级资本充足率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72C6C2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27.85%</w:t>
            </w:r>
          </w:p>
        </w:tc>
      </w:tr>
      <w:tr w:rsidR="003B76E8" w:rsidRPr="007471A1" w14:paraId="5989B1CA"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143FB8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81450F6"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E72EA0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29.05%</w:t>
            </w:r>
          </w:p>
        </w:tc>
      </w:tr>
      <w:tr w:rsidR="003B76E8" w:rsidRPr="007471A1" w14:paraId="54AED49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2766DA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45935EB"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其他各级资本要求（%）</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D76768D"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2.50%</w:t>
            </w:r>
          </w:p>
        </w:tc>
      </w:tr>
      <w:tr w:rsidR="003B76E8" w:rsidRPr="007471A1" w14:paraId="38B67A9F"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521D943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3CCF8FF"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其中：储备资本要求</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9792CB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2.50%</w:t>
            </w:r>
          </w:p>
        </w:tc>
      </w:tr>
      <w:tr w:rsidR="003B76E8" w:rsidRPr="007471A1" w14:paraId="6B3D3BD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B8AFA8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59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2DB9116A"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其中：逆周期资本要求</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FDDCE39"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654264E"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272CBC5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60</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A41E902"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其中：全球系统重要性银行或国内系统重要性银行附加资本要求</w:t>
            </w:r>
          </w:p>
        </w:tc>
        <w:tc>
          <w:tcPr>
            <w:tcW w:w="1242" w:type="pct"/>
            <w:tcBorders>
              <w:top w:val="single" w:sz="4" w:space="0" w:color="auto"/>
              <w:left w:val="single" w:sz="4" w:space="0" w:color="auto"/>
              <w:bottom w:val="single" w:sz="4" w:space="0" w:color="auto"/>
              <w:right w:val="single" w:sz="4" w:space="0" w:color="auto"/>
            </w:tcBorders>
            <w:shd w:val="clear" w:color="auto" w:fill="BEBEBE"/>
            <w:vAlign w:val="center"/>
          </w:tcPr>
          <w:p w14:paraId="4D94F3A7" w14:textId="77777777" w:rsidR="003B76E8" w:rsidRPr="007471A1" w:rsidRDefault="003B76E8" w:rsidP="007471A1">
            <w:pPr>
              <w:jc w:val="center"/>
              <w:rPr>
                <w:rFonts w:ascii="仿宋_GB2312" w:eastAsia="仿宋_GB2312" w:hAnsi="宋体" w:cs="仿宋_GB2312" w:hint="eastAsia"/>
                <w:color w:val="000000"/>
                <w:sz w:val="24"/>
              </w:rPr>
            </w:pPr>
          </w:p>
        </w:tc>
      </w:tr>
      <w:tr w:rsidR="003B76E8" w:rsidRPr="007471A1" w14:paraId="7E2067EC"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454E79F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61</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EA9EDB1" w14:textId="77777777" w:rsidR="003B76E8" w:rsidRPr="007471A1" w:rsidRDefault="00000000" w:rsidP="007471A1">
            <w:pPr>
              <w:widowControl/>
              <w:textAlignment w:val="center"/>
              <w:rPr>
                <w:rFonts w:ascii="仿宋_GB2312" w:eastAsia="仿宋_GB2312" w:hAnsi="宋体" w:cs="仿宋_GB2312" w:hint="eastAsia"/>
                <w:b/>
                <w:bCs/>
                <w:color w:val="000000"/>
                <w:sz w:val="24"/>
              </w:rPr>
            </w:pPr>
            <w:r w:rsidRPr="007471A1">
              <w:rPr>
                <w:rFonts w:ascii="仿宋_GB2312" w:eastAsia="仿宋_GB2312" w:hAnsi="宋体" w:cs="仿宋_GB2312" w:hint="eastAsia"/>
                <w:b/>
                <w:bCs/>
                <w:color w:val="000000"/>
                <w:kern w:val="0"/>
                <w:sz w:val="24"/>
                <w:lang w:bidi="ar"/>
              </w:rPr>
              <w:t>满足最低资本要求后的可用核心一级资本净额占风险加权资产的比例（%）</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8108DE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19.85%</w:t>
            </w:r>
          </w:p>
        </w:tc>
      </w:tr>
      <w:tr w:rsidR="003B76E8" w:rsidRPr="007471A1" w14:paraId="1B3DC45A"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3C3FD1DB"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62</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762819E"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核心一级资本充足率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9137A0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27.85%</w:t>
            </w:r>
          </w:p>
        </w:tc>
      </w:tr>
      <w:tr w:rsidR="003B76E8" w:rsidRPr="007471A1" w14:paraId="49E249FD"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2BA267B2"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63</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070D795"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一级资本充足率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40B2048"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27.85%</w:t>
            </w:r>
          </w:p>
        </w:tc>
      </w:tr>
      <w:tr w:rsidR="003B76E8" w:rsidRPr="007471A1" w14:paraId="750CB866" w14:textId="77777777">
        <w:trPr>
          <w:trHeight w:val="390"/>
        </w:trPr>
        <w:tc>
          <w:tcPr>
            <w:tcW w:w="362" w:type="pct"/>
            <w:tcBorders>
              <w:top w:val="single" w:sz="4" w:space="0" w:color="auto"/>
              <w:bottom w:val="single" w:sz="4" w:space="0" w:color="auto"/>
              <w:right w:val="single" w:sz="4" w:space="0" w:color="auto"/>
            </w:tcBorders>
            <w:shd w:val="clear" w:color="auto" w:fill="auto"/>
          </w:tcPr>
          <w:p w14:paraId="093D54F7" w14:textId="77777777" w:rsidR="003B76E8" w:rsidRPr="007471A1" w:rsidRDefault="00000000" w:rsidP="007471A1">
            <w:pPr>
              <w:widowControl/>
              <w:jc w:val="center"/>
              <w:textAlignment w:val="top"/>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64</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0F14A5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资本充足率</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3BDD7CE"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29.05%</w:t>
            </w:r>
          </w:p>
        </w:tc>
      </w:tr>
      <w:tr w:rsidR="003B76E8" w:rsidRPr="007471A1" w14:paraId="4CF25367"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40B1499"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65</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821E8A8"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对未并表金融机构的小额少数资本投资中未扣除部分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7E73BEB"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39ED9E20"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077676A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66</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6B1BAA7"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对未并表金融机构的大额少数资本投资中未扣除部分</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B529366"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22830B28"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6BD804F1"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67</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59429127"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其他依赖于银行未来盈利的净递延税资产（扣除递延税负债）</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9C76BE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0.00</w:t>
            </w:r>
          </w:p>
        </w:tc>
      </w:tr>
      <w:tr w:rsidR="003B76E8" w:rsidRPr="007471A1" w14:paraId="6EC555C3"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184FC4A4"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68</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7378984"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权重法下，实际计提的超额损失准备金额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8A360CC"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16360.53</w:t>
            </w:r>
          </w:p>
        </w:tc>
      </w:tr>
      <w:tr w:rsidR="003B76E8" w:rsidRPr="007471A1" w14:paraId="036AB451" w14:textId="77777777">
        <w:trPr>
          <w:trHeight w:val="390"/>
        </w:trPr>
        <w:tc>
          <w:tcPr>
            <w:tcW w:w="362" w:type="pct"/>
            <w:tcBorders>
              <w:top w:val="single" w:sz="4" w:space="0" w:color="auto"/>
              <w:bottom w:val="single" w:sz="4" w:space="0" w:color="auto"/>
              <w:right w:val="single" w:sz="4" w:space="0" w:color="auto"/>
            </w:tcBorders>
            <w:shd w:val="clear" w:color="auto" w:fill="auto"/>
            <w:vAlign w:val="center"/>
          </w:tcPr>
          <w:p w14:paraId="23780A02"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69</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F24C56B" w14:textId="77777777" w:rsidR="003B76E8" w:rsidRPr="007471A1" w:rsidRDefault="00000000" w:rsidP="007471A1">
            <w:pPr>
              <w:widowControl/>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权重法下，可计入二级资本超额损失准备的数额</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0B679C7" w14:textId="77777777" w:rsidR="003B76E8" w:rsidRPr="007471A1" w:rsidRDefault="00000000" w:rsidP="007471A1">
            <w:pPr>
              <w:widowControl/>
              <w:jc w:val="center"/>
              <w:textAlignment w:val="center"/>
              <w:rPr>
                <w:rFonts w:ascii="仿宋_GB2312" w:eastAsia="仿宋_GB2312" w:hAnsi="宋体" w:cs="仿宋_GB2312" w:hint="eastAsia"/>
                <w:color w:val="000000"/>
                <w:sz w:val="24"/>
              </w:rPr>
            </w:pPr>
            <w:r w:rsidRPr="007471A1">
              <w:rPr>
                <w:rFonts w:ascii="仿宋_GB2312" w:eastAsia="仿宋_GB2312" w:hAnsi="宋体" w:cs="仿宋_GB2312" w:hint="eastAsia"/>
                <w:color w:val="000000"/>
                <w:kern w:val="0"/>
                <w:sz w:val="24"/>
                <w:lang w:bidi="ar"/>
              </w:rPr>
              <w:t>9978.26</w:t>
            </w:r>
          </w:p>
        </w:tc>
      </w:tr>
    </w:tbl>
    <w:p w14:paraId="2F9445EB" w14:textId="77777777" w:rsidR="003B76E8" w:rsidRDefault="003B76E8">
      <w:pPr>
        <w:spacing w:line="580" w:lineRule="exact"/>
        <w:rPr>
          <w:rFonts w:ascii="仿宋_GB2312" w:eastAsia="仿宋_GB2312" w:hAnsi="仿宋_GB2312" w:cs="仿宋_GB2312" w:hint="eastAsia"/>
          <w:sz w:val="32"/>
          <w:szCs w:val="32"/>
        </w:rPr>
      </w:pPr>
    </w:p>
    <w:sectPr w:rsidR="003B76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49EEB" w14:textId="77777777" w:rsidR="00C14A33" w:rsidRDefault="00C14A33" w:rsidP="000305F2">
      <w:r>
        <w:separator/>
      </w:r>
    </w:p>
  </w:endnote>
  <w:endnote w:type="continuationSeparator" w:id="0">
    <w:p w14:paraId="0B8B32D5" w14:textId="77777777" w:rsidR="00C14A33" w:rsidRDefault="00C14A33" w:rsidP="0003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771E" w14:textId="77777777" w:rsidR="00C14A33" w:rsidRDefault="00C14A33" w:rsidP="000305F2">
      <w:r>
        <w:separator/>
      </w:r>
    </w:p>
  </w:footnote>
  <w:footnote w:type="continuationSeparator" w:id="0">
    <w:p w14:paraId="7FC4FA33" w14:textId="77777777" w:rsidR="00C14A33" w:rsidRDefault="00C14A33" w:rsidP="00030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CB4AD3"/>
    <w:multiLevelType w:val="singleLevel"/>
    <w:tmpl w:val="BECB4AD3"/>
    <w:lvl w:ilvl="0">
      <w:start w:val="1"/>
      <w:numFmt w:val="decimal"/>
      <w:suff w:val="nothing"/>
      <w:lvlText w:val="%1、"/>
      <w:lvlJc w:val="left"/>
    </w:lvl>
  </w:abstractNum>
  <w:num w:numId="1" w16cid:durableId="57967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defaultTabStop w:val="420"/>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E3MGMyZTJmMTNiOWE5NDFkNmY0ZjI1OTRiNDUzNTIifQ=="/>
  </w:docVars>
  <w:rsids>
    <w:rsidRoot w:val="003B76E8"/>
    <w:rsid w:val="00004E94"/>
    <w:rsid w:val="000305F2"/>
    <w:rsid w:val="000D2B94"/>
    <w:rsid w:val="00157AA5"/>
    <w:rsid w:val="001724F2"/>
    <w:rsid w:val="0017507E"/>
    <w:rsid w:val="00206D87"/>
    <w:rsid w:val="0021015C"/>
    <w:rsid w:val="00274D6A"/>
    <w:rsid w:val="002D04C5"/>
    <w:rsid w:val="00317043"/>
    <w:rsid w:val="00332773"/>
    <w:rsid w:val="00377486"/>
    <w:rsid w:val="003B76E8"/>
    <w:rsid w:val="00424E82"/>
    <w:rsid w:val="00513236"/>
    <w:rsid w:val="006B34F3"/>
    <w:rsid w:val="006D4F0D"/>
    <w:rsid w:val="0074681B"/>
    <w:rsid w:val="007471A1"/>
    <w:rsid w:val="00760946"/>
    <w:rsid w:val="00785FEA"/>
    <w:rsid w:val="007E0D89"/>
    <w:rsid w:val="007F109F"/>
    <w:rsid w:val="007F4F22"/>
    <w:rsid w:val="00951B85"/>
    <w:rsid w:val="009B5246"/>
    <w:rsid w:val="009F1670"/>
    <w:rsid w:val="00A46289"/>
    <w:rsid w:val="00A553F8"/>
    <w:rsid w:val="00A755E2"/>
    <w:rsid w:val="00A96741"/>
    <w:rsid w:val="00AE7107"/>
    <w:rsid w:val="00B52969"/>
    <w:rsid w:val="00BD2E6C"/>
    <w:rsid w:val="00BF201A"/>
    <w:rsid w:val="00C14A33"/>
    <w:rsid w:val="00C45D2F"/>
    <w:rsid w:val="00D74AA9"/>
    <w:rsid w:val="00D919E6"/>
    <w:rsid w:val="00DA3316"/>
    <w:rsid w:val="00E2723D"/>
    <w:rsid w:val="00E56EF3"/>
    <w:rsid w:val="00EA0D67"/>
    <w:rsid w:val="00F05EE9"/>
    <w:rsid w:val="00F835D4"/>
    <w:rsid w:val="00FC205B"/>
    <w:rsid w:val="00FC42FB"/>
    <w:rsid w:val="00FC7274"/>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9A61BE"/>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CF4009D"/>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7D6A6F"/>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559B1"/>
    <w:rsid w:val="1AD80F65"/>
    <w:rsid w:val="1ADE0698"/>
    <w:rsid w:val="1AEF7A25"/>
    <w:rsid w:val="1AF13DEF"/>
    <w:rsid w:val="1B051723"/>
    <w:rsid w:val="1B0F74BB"/>
    <w:rsid w:val="1B120A1C"/>
    <w:rsid w:val="1B1C7337"/>
    <w:rsid w:val="1B1D3C19"/>
    <w:rsid w:val="1B1E5A42"/>
    <w:rsid w:val="1B2B4350"/>
    <w:rsid w:val="1B362841"/>
    <w:rsid w:val="1B3826ED"/>
    <w:rsid w:val="1B3F1E98"/>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06D98"/>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36AC1"/>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8B429A"/>
    <w:rsid w:val="2A9B677B"/>
    <w:rsid w:val="2AAC0562"/>
    <w:rsid w:val="2AB068B9"/>
    <w:rsid w:val="2ABC7FF4"/>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1B3283"/>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54A5C"/>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2431A9"/>
    <w:rsid w:val="374408DA"/>
    <w:rsid w:val="37453A8A"/>
    <w:rsid w:val="374969F7"/>
    <w:rsid w:val="376114F2"/>
    <w:rsid w:val="376C1CDA"/>
    <w:rsid w:val="377063EE"/>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CB6D8B"/>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B6361"/>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6D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761E2D"/>
    <w:rsid w:val="4D892C86"/>
    <w:rsid w:val="4D894893"/>
    <w:rsid w:val="4D902AED"/>
    <w:rsid w:val="4D9534CF"/>
    <w:rsid w:val="4D9A53C9"/>
    <w:rsid w:val="4D9E611D"/>
    <w:rsid w:val="4D9F3FD9"/>
    <w:rsid w:val="4DA1650C"/>
    <w:rsid w:val="4DA414E5"/>
    <w:rsid w:val="4DA94A8E"/>
    <w:rsid w:val="4DAD6F17"/>
    <w:rsid w:val="4DBC1C7B"/>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07EA5"/>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0F93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85185"/>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1C3D60"/>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CC5ACB"/>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3D028D"/>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93200"/>
    <w:rsid w:val="755E2F66"/>
    <w:rsid w:val="756215EC"/>
    <w:rsid w:val="75687F77"/>
    <w:rsid w:val="756B6796"/>
    <w:rsid w:val="75753EC5"/>
    <w:rsid w:val="75870B09"/>
    <w:rsid w:val="75A955C6"/>
    <w:rsid w:val="75B84249"/>
    <w:rsid w:val="75BA1535"/>
    <w:rsid w:val="75BD39A4"/>
    <w:rsid w:val="75C21761"/>
    <w:rsid w:val="75DA5C28"/>
    <w:rsid w:val="75E6098F"/>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02E3"/>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6AE07"/>
  <w15:docId w15:val="{FD7EAD5F-F4AF-4165-A83E-AA4AAF9E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qFormat/>
    <w:rPr>
      <w:rFonts w:ascii="仿宋_GB2312" w:eastAsia="仿宋_GB2312" w:cs="仿宋_GB2312" w:hint="eastAsia"/>
      <w:b/>
      <w:bCs/>
      <w:color w:val="000000"/>
      <w:sz w:val="28"/>
      <w:szCs w:val="28"/>
      <w:u w:val="none"/>
    </w:rPr>
  </w:style>
  <w:style w:type="character" w:customStyle="1" w:styleId="font31">
    <w:name w:val="font31"/>
    <w:basedOn w:val="a0"/>
    <w:qFormat/>
    <w:rPr>
      <w:rFonts w:ascii="仿宋_GB2312" w:eastAsia="仿宋_GB2312" w:cs="仿宋_GB2312" w:hint="eastAsia"/>
      <w:color w:val="000000"/>
      <w:sz w:val="28"/>
      <w:szCs w:val="28"/>
      <w:u w:val="none"/>
    </w:rPr>
  </w:style>
  <w:style w:type="paragraph" w:styleId="a3">
    <w:name w:val="header"/>
    <w:basedOn w:val="a"/>
    <w:link w:val="a4"/>
    <w:rsid w:val="000305F2"/>
    <w:pPr>
      <w:tabs>
        <w:tab w:val="center" w:pos="4153"/>
        <w:tab w:val="right" w:pos="8306"/>
      </w:tabs>
      <w:snapToGrid w:val="0"/>
      <w:jc w:val="center"/>
    </w:pPr>
    <w:rPr>
      <w:sz w:val="18"/>
      <w:szCs w:val="18"/>
    </w:rPr>
  </w:style>
  <w:style w:type="character" w:customStyle="1" w:styleId="a4">
    <w:name w:val="页眉 字符"/>
    <w:basedOn w:val="a0"/>
    <w:link w:val="a3"/>
    <w:rsid w:val="000305F2"/>
    <w:rPr>
      <w:rFonts w:asciiTheme="minorHAnsi" w:eastAsiaTheme="minorEastAsia" w:hAnsiTheme="minorHAnsi" w:cstheme="minorBidi"/>
      <w:kern w:val="2"/>
      <w:sz w:val="18"/>
      <w:szCs w:val="18"/>
    </w:rPr>
  </w:style>
  <w:style w:type="paragraph" w:styleId="a5">
    <w:name w:val="footer"/>
    <w:basedOn w:val="a"/>
    <w:link w:val="a6"/>
    <w:rsid w:val="000305F2"/>
    <w:pPr>
      <w:tabs>
        <w:tab w:val="center" w:pos="4153"/>
        <w:tab w:val="right" w:pos="8306"/>
      </w:tabs>
      <w:snapToGrid w:val="0"/>
      <w:jc w:val="left"/>
    </w:pPr>
    <w:rPr>
      <w:sz w:val="18"/>
      <w:szCs w:val="18"/>
    </w:rPr>
  </w:style>
  <w:style w:type="character" w:customStyle="1" w:styleId="a6">
    <w:name w:val="页脚 字符"/>
    <w:basedOn w:val="a0"/>
    <w:link w:val="a5"/>
    <w:rsid w:val="000305F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00781760</dc:creator>
  <cp:lastModifiedBy>任小莉</cp:lastModifiedBy>
  <cp:revision>7</cp:revision>
  <dcterms:created xsi:type="dcterms:W3CDTF">2023-06-26T06:42:00Z</dcterms:created>
  <dcterms:modified xsi:type="dcterms:W3CDTF">2025-03-04T07:08:00Z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